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title-main"/>
              <w:spacing w:line="45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A1D20"/>
                <w:sz w:val="30"/>
                <w:szCs w:val="30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2024 年春季认知能力评估</w:t>
            </w:r>
          </w:p>
          <w:p>
            <w:pPr>
              <w:pStyle w:val="title-sub"/>
              <w:spacing w:line="270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评估报告详情</w:t>
            </w: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学生基础信息</w:t>
            </w:r>
          </w:p>
          <w:tbl>
            <w:tblPr>
              <w:tblStyle w:val="an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1777"/>
              <w:gridCol w:w="1719"/>
              <w:gridCol w:w="1948"/>
              <w:gridCol w:w="2618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W w:w="1250" w:type="pct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姓名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小明</w:t>
                  </w:r>
                </w:p>
              </w:tc>
              <w:tc>
                <w:tcPr>
                  <w:tcW w:w="1250" w:type="pct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出生日期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2018-05-20</w:t>
                  </w:r>
                </w:p>
              </w:tc>
              <w:tc>
                <w:tcPr>
                  <w:tcW w:w="1250" w:type="pct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机构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阳光特殊教育学校</w:t>
                  </w:r>
                </w:p>
              </w:tc>
              <w:tc>
                <w:tcPr>
                  <w:tcW w:w="1250" w:type="pct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评估时间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2024-03-15</w:t>
                  </w:r>
                </w:p>
              </w:tc>
            </w:tr>
            <w:tr>
              <w:tblPrEx>
                <w:tblW w:w="5000" w:type="pct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c>
                <w:tcPr>
                  <w:tcMar>
                    <w:top w:w="9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年级班级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一年级一班</w:t>
                  </w:r>
                </w:p>
              </w:tc>
              <w:tc>
                <w:tcPr>
                  <w:tcMar>
                    <w:top w:w="9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学生类型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智力障碍</w:t>
                  </w:r>
                </w:p>
              </w:tc>
              <w:tc>
                <w:tcPr>
                  <w:tcMar>
                    <w:top w:w="9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教师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张老师</w:t>
                  </w:r>
                </w:p>
              </w:tc>
              <w:tc>
                <w:tcPr>
                  <w:tcMar>
                    <w:top w:w="9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t>评估结果</w:t>
                  </w:r>
                  <w:r>
                    <w:rPr>
                      <w:rStyle w:val="info-label"/>
                      <w:rFonts w:ascii="宋体" w:eastAsia="宋体" w:hAnsi="宋体" w:cs="宋体"/>
                      <w:i w:val="0"/>
                      <w:iCs w:val="0"/>
                    </w:rPr>
                    <w:br/>
                  </w:r>
                  <w:r>
                    <w:rPr>
                      <w:rStyle w:val="info-value"/>
                      <w:rFonts w:ascii="宋体" w:eastAsia="宋体" w:hAnsi="宋体" w:cs="宋体"/>
                      <w:i w:val="0"/>
                      <w:iCs w:val="0"/>
                    </w:rPr>
                    <w:t>极重度/重度语言与沟通障碍</w:t>
                  </w:r>
                </w:p>
              </w:tc>
            </w:tr>
          </w:tbl>
          <w:p>
            <w:pP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</w:pPr>
          </w:p>
        </w:tc>
      </w:tr>
    </w:tbl>
    <w:p>
      <w:pPr>
        <w:rPr>
          <w:vanish/>
        </w:rPr>
      </w:pPr>
    </w:p>
    <w:tbl>
      <w:tblPr>
        <w:tblStyle w:val="tablekpi-grid"/>
        <w:tblW w:w="5000" w:type="pct"/>
        <w:tblCellSpacing w:w="15" w:type="dxa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07"/>
        <w:gridCol w:w="2107"/>
        <w:gridCol w:w="2107"/>
        <w:gridCol w:w="2107"/>
      </w:tblGrid>
      <w:tr>
        <w:tblPrEx>
          <w:tblW w:w="5000" w:type="pct"/>
          <w:tblCellSpacing w:w="15" w:type="dxa"/>
          <w:tblInd w:w="1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50" w:type="pct"/>
            <w:tcBorders>
              <w:top w:val="single" w:sz="6" w:space="0" w:color="E5E9F0"/>
              <w:left w:val="single" w:sz="6" w:space="0" w:color="E5E9F0"/>
              <w:bottom w:val="single" w:sz="18" w:space="0" w:color="2563EB"/>
              <w:right w:val="single" w:sz="6" w:space="0" w:color="E5E9F0"/>
            </w:tcBorders>
            <w:shd w:val="clear" w:color="auto" w:fill="F9FBFD"/>
            <w:tcMar>
              <w:top w:w="128" w:type="dxa"/>
              <w:left w:w="128" w:type="dxa"/>
              <w:bottom w:w="142" w:type="dxa"/>
              <w:right w:w="128" w:type="dxa"/>
            </w:tcMar>
            <w:vAlign w:val="top"/>
          </w:tcPr>
          <w:p>
            <w:pPr>
              <w:pStyle w:val="info-labelParagraph"/>
              <w:shd w:val="clear" w:color="auto" w:fill="F9FBFD"/>
              <w:spacing w:line="270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评估总分</w:t>
            </w:r>
          </w:p>
          <w:p>
            <w:pPr>
              <w:pStyle w:val="anyParagraph"/>
              <w:shd w:val="clear" w:color="auto" w:fill="F9FBFD"/>
              <w:spacing w:before="30" w:line="48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563EB"/>
                <w:sz w:val="32"/>
                <w:szCs w:val="32"/>
              </w:rPr>
            </w:pPr>
            <w:r>
              <w:rPr>
                <w:rStyle w:val="DefaultParagraphFont"/>
                <w:b/>
                <w:bCs/>
                <w:color w:val="2563EB"/>
                <w:sz w:val="32"/>
                <w:szCs w:val="32"/>
              </w:rPr>
              <w:t xml:space="preserve">264 </w:t>
            </w:r>
            <w:r>
              <w:rPr>
                <w:rStyle w:val="anyCharacter"/>
                <w:b w:val="0"/>
                <w:bCs w:val="0"/>
                <w:color w:val="888888"/>
                <w:sz w:val="18"/>
                <w:szCs w:val="18"/>
              </w:rPr>
              <w:t>/ 368</w:t>
            </w:r>
          </w:p>
          <w:p>
            <w:pPr>
              <w:pStyle w:val="anyParagraph"/>
              <w:shd w:val="clear" w:color="auto" w:fill="F9FBFD"/>
              <w:spacing w:before="30" w:line="255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7"/>
                <w:szCs w:val="17"/>
              </w:rPr>
            </w:pPr>
            <w:r>
              <w:rPr>
                <w:rStyle w:val="DefaultParagraphFont"/>
                <w:color w:val="888888"/>
                <w:sz w:val="17"/>
                <w:szCs w:val="17"/>
              </w:rPr>
              <w:t>共 8 个领域</w:t>
            </w:r>
          </w:p>
        </w:tc>
        <w:tc>
          <w:tcPr>
            <w:tcW w:w="1250" w:type="pct"/>
            <w:tcBorders>
              <w:top w:val="single" w:sz="6" w:space="0" w:color="E5E9F0"/>
              <w:left w:val="single" w:sz="6" w:space="0" w:color="E5E9F0"/>
              <w:bottom w:val="single" w:sz="18" w:space="0" w:color="7C3AED"/>
              <w:right w:val="single" w:sz="6" w:space="0" w:color="E5E9F0"/>
            </w:tcBorders>
            <w:shd w:val="clear" w:color="auto" w:fill="F9FBFD"/>
            <w:tcMar>
              <w:top w:w="128" w:type="dxa"/>
              <w:left w:w="128" w:type="dxa"/>
              <w:bottom w:w="142" w:type="dxa"/>
              <w:right w:w="128" w:type="dxa"/>
            </w:tcMar>
            <w:vAlign w:val="top"/>
          </w:tcPr>
          <w:p>
            <w:pPr>
              <w:pStyle w:val="info-labelParagraph"/>
              <w:shd w:val="clear" w:color="auto" w:fill="F9FBFD"/>
              <w:spacing w:line="270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总分占比</w:t>
            </w:r>
          </w:p>
          <w:p>
            <w:pPr>
              <w:pStyle w:val="anyParagraph"/>
              <w:shd w:val="clear" w:color="auto" w:fill="F9FBFD"/>
              <w:spacing w:before="30" w:line="48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7C3AED"/>
                <w:sz w:val="32"/>
                <w:szCs w:val="32"/>
              </w:rPr>
            </w:pPr>
            <w:r>
              <w:rPr>
                <w:rStyle w:val="DefaultParagraphFont"/>
                <w:b/>
                <w:bCs/>
                <w:color w:val="7C3AED"/>
                <w:sz w:val="32"/>
                <w:szCs w:val="32"/>
              </w:rPr>
              <w:t>72%</w:t>
            </w:r>
          </w:p>
          <w:p>
            <w:pPr>
              <w:pStyle w:val="anyParagraph"/>
              <w:shd w:val="clear" w:color="auto" w:fill="F9FBFD"/>
              <w:spacing w:before="30" w:line="255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7"/>
                <w:szCs w:val="17"/>
              </w:rPr>
            </w:pPr>
            <w:r>
              <w:rPr>
                <w:rStyle w:val="DefaultParagraphFont"/>
                <w:color w:val="888888"/>
                <w:sz w:val="17"/>
                <w:szCs w:val="17"/>
              </w:rPr>
              <w:t>整体表现</w:t>
            </w:r>
          </w:p>
        </w:tc>
        <w:tc>
          <w:tcPr>
            <w:tcW w:w="1250" w:type="pct"/>
            <w:tcBorders>
              <w:top w:val="single" w:sz="6" w:space="0" w:color="E5E9F0"/>
              <w:left w:val="single" w:sz="6" w:space="0" w:color="E5E9F0"/>
              <w:bottom w:val="single" w:sz="18" w:space="0" w:color="10B981"/>
              <w:right w:val="single" w:sz="6" w:space="0" w:color="E5E9F0"/>
            </w:tcBorders>
            <w:shd w:val="clear" w:color="auto" w:fill="F9FBFD"/>
            <w:tcMar>
              <w:top w:w="128" w:type="dxa"/>
              <w:left w:w="128" w:type="dxa"/>
              <w:bottom w:w="142" w:type="dxa"/>
              <w:right w:w="128" w:type="dxa"/>
            </w:tcMar>
            <w:vAlign w:val="top"/>
          </w:tcPr>
          <w:p>
            <w:pPr>
              <w:pStyle w:val="info-labelParagraph"/>
              <w:shd w:val="clear" w:color="auto" w:fill="F9FBFD"/>
              <w:spacing w:line="270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 xml:space="preserve">优势领域 </w:t>
            </w:r>
            <w:r>
              <w:rPr>
                <w:rStyle w:val="anyCharacter"/>
                <w:b/>
                <w:bCs/>
                <w:color w:val="10B981"/>
              </w:rPr>
              <w:t>↑优秀</w:t>
            </w:r>
          </w:p>
          <w:p>
            <w:pPr>
              <w:pStyle w:val="anyParagraph"/>
              <w:shd w:val="clear" w:color="auto" w:fill="F9FBFD"/>
              <w:spacing w:before="30" w:line="30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20"/>
                <w:szCs w:val="20"/>
              </w:rPr>
            </w:pPr>
            <w:r>
              <w:rPr>
                <w:rStyle w:val="DefaultParagraphFont"/>
                <w:b/>
                <w:bCs/>
                <w:color w:val="333333"/>
                <w:sz w:val="20"/>
                <w:szCs w:val="20"/>
              </w:rPr>
              <w:t>言语理解</w:t>
            </w:r>
          </w:p>
          <w:p>
            <w:pPr>
              <w:pStyle w:val="anyParagraph"/>
              <w:shd w:val="clear" w:color="auto" w:fill="F9FBFD"/>
              <w:spacing w:line="36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0B981"/>
                <w:sz w:val="24"/>
                <w:szCs w:val="24"/>
              </w:rPr>
            </w:pPr>
            <w:r>
              <w:rPr>
                <w:rStyle w:val="DefaultParagraphFont"/>
                <w:b/>
                <w:bCs/>
                <w:color w:val="10B981"/>
              </w:rPr>
              <w:t>45 分</w:t>
            </w:r>
          </w:p>
        </w:tc>
        <w:tc>
          <w:tcPr>
            <w:tcW w:w="1250" w:type="pct"/>
            <w:tcBorders>
              <w:top w:val="single" w:sz="6" w:space="0" w:color="E5E9F0"/>
              <w:left w:val="single" w:sz="6" w:space="0" w:color="E5E9F0"/>
              <w:bottom w:val="single" w:sz="18" w:space="0" w:color="F59E0B"/>
              <w:right w:val="single" w:sz="6" w:space="0" w:color="E5E9F0"/>
            </w:tcBorders>
            <w:shd w:val="clear" w:color="auto" w:fill="F9FBFD"/>
            <w:tcMar>
              <w:top w:w="128" w:type="dxa"/>
              <w:left w:w="128" w:type="dxa"/>
              <w:bottom w:w="142" w:type="dxa"/>
              <w:right w:w="128" w:type="dxa"/>
            </w:tcMar>
            <w:vAlign w:val="top"/>
          </w:tcPr>
          <w:p>
            <w:pPr>
              <w:pStyle w:val="info-labelParagraph"/>
              <w:shd w:val="clear" w:color="auto" w:fill="F9FBFD"/>
              <w:spacing w:line="270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 xml:space="preserve">待提升领域 </w:t>
            </w:r>
            <w:r>
              <w:rPr>
                <w:rStyle w:val="anyCharacter"/>
                <w:b/>
                <w:bCs/>
                <w:color w:val="F59E0B"/>
              </w:rPr>
              <w:t>↑提升</w:t>
            </w:r>
          </w:p>
          <w:p>
            <w:pPr>
              <w:pStyle w:val="anyParagraph"/>
              <w:shd w:val="clear" w:color="auto" w:fill="F9FBFD"/>
              <w:spacing w:before="30" w:line="30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20"/>
                <w:szCs w:val="20"/>
              </w:rPr>
            </w:pPr>
            <w:r>
              <w:rPr>
                <w:rStyle w:val="DefaultParagraphFont"/>
                <w:b/>
                <w:bCs/>
                <w:color w:val="333333"/>
                <w:sz w:val="20"/>
                <w:szCs w:val="20"/>
              </w:rPr>
              <w:t>加工速度</w:t>
            </w:r>
          </w:p>
          <w:p>
            <w:pPr>
              <w:pStyle w:val="anyParagraph"/>
              <w:shd w:val="clear" w:color="auto" w:fill="F9FBFD"/>
              <w:spacing w:line="36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F59E0B"/>
                <w:sz w:val="24"/>
                <w:szCs w:val="24"/>
              </w:rPr>
            </w:pPr>
            <w:r>
              <w:rPr>
                <w:rStyle w:val="DefaultParagraphFont"/>
                <w:b/>
                <w:bCs/>
                <w:color w:val="F59E0B"/>
              </w:rPr>
              <w:t>18 分</w:t>
            </w:r>
          </w:p>
        </w:tc>
      </w:tr>
    </w:tbl>
    <w:p>
      <w:pPr>
        <w:rPr>
          <w:vanish/>
        </w:rPr>
      </w:pPr>
    </w:p>
    <w:tbl>
      <w:tblPr>
        <w:tblStyle w:val="any"/>
        <w:tblW w:w="5000" w:type="pct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4234"/>
        <w:gridCol w:w="173"/>
        <w:gridCol w:w="4234"/>
      </w:tblGrid>
      <w:tr>
        <w:tblPrEx>
          <w:tblW w:w="5000" w:type="pct"/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45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Style w:val="tablecard-table"/>
              <w:tblW w:w="5000" w:type="pct"/>
              <w:tblBorders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204"/>
            </w:tblGrid>
            <w:tr>
              <w:tblPrEx>
                <w:tblW w:w="5000" w:type="pct"/>
                <w:tblBorders>
                  <w:top w:val="single" w:sz="6" w:space="0" w:color="E0E0E0"/>
                  <w:left w:val="single" w:sz="6" w:space="0" w:color="E0E0E0"/>
                  <w:bottom w:val="single" w:sz="6" w:space="0" w:color="E0E0E0"/>
                  <w:right w:val="single" w:sz="6" w:space="0" w:color="E0E0E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shd w:val="clear" w:color="auto" w:fill="FFFFFF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pStyle w:val="section-header"/>
                    <w:spacing w:line="330" w:lineRule="atLeas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2563EB"/>
                      <w:sz w:val="22"/>
                      <w:szCs w:val="22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2563EB"/>
                    </w:rPr>
                    <w:t>| 历史总分统计</w:t>
                  </w:r>
                </w:p>
                <w:p>
                  <w:pPr>
                    <w:pStyle w:val="chart-box"/>
                    <w:pBdr>
                      <w:top w:val="single" w:sz="6" w:space="18" w:color="D0D7DE"/>
                      <w:left w:val="single" w:sz="6" w:space="7" w:color="D0D7DE"/>
                      <w:bottom w:val="single" w:sz="6" w:space="18" w:color="D0D7DE"/>
                      <w:right w:val="single" w:sz="6" w:space="7" w:color="D0D7DE"/>
                    </w:pBdr>
                    <w:spacing w:line="270" w:lineRule="atLeast"/>
                    <w:ind w:left="165" w:right="165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888888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bdr w:val="none" w:sz="0" w:space="0" w:color="auto"/>
                      <w:shd w:val="clear" w:color="auto" w:fill="auto"/>
                    </w:rPr>
                    <w:t>[ 历史总分折线图 ]</w:t>
                  </w:r>
                </w:p>
              </w:tc>
            </w:tr>
          </w:tbl>
          <w:p>
            <w:pPr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21"/>
                <w:szCs w:val="21"/>
              </w:rPr>
            </w:pPr>
          </w:p>
        </w:tc>
        <w:tc>
          <w:tcPr>
            <w:tcW w:w="1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15" w:lineRule="atLeast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21"/>
                <w:szCs w:val="21"/>
              </w:rPr>
            </w:pPr>
          </w:p>
        </w:tc>
        <w:tc>
          <w:tcPr>
            <w:tcW w:w="2450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Style w:val="tablecard-table"/>
              <w:tblW w:w="5000" w:type="pct"/>
              <w:tblBorders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204"/>
            </w:tblGrid>
            <w:tr>
              <w:tblPrEx>
                <w:tblW w:w="5000" w:type="pct"/>
                <w:tblBorders>
                  <w:top w:val="single" w:sz="6" w:space="0" w:color="E0E0E0"/>
                  <w:left w:val="single" w:sz="6" w:space="0" w:color="E0E0E0"/>
                  <w:bottom w:val="single" w:sz="6" w:space="0" w:color="E0E0E0"/>
                  <w:right w:val="single" w:sz="6" w:space="0" w:color="E0E0E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shd w:val="clear" w:color="auto" w:fill="FFFFFF"/>
                  <w:tcMar>
                    <w:top w:w="150" w:type="dxa"/>
                    <w:left w:w="180" w:type="dxa"/>
                    <w:bottom w:w="150" w:type="dxa"/>
                    <w:right w:w="180" w:type="dxa"/>
                  </w:tcMar>
                  <w:vAlign w:val="top"/>
                </w:tcPr>
                <w:p>
                  <w:pPr>
                    <w:pStyle w:val="section-header"/>
                    <w:spacing w:line="330" w:lineRule="atLeas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2563EB"/>
                      <w:sz w:val="22"/>
                      <w:szCs w:val="22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2563EB"/>
                    </w:rPr>
                    <w:t>| 历史通过率统计</w:t>
                  </w:r>
                </w:p>
                <w:p>
                  <w:pPr>
                    <w:pStyle w:val="chart-box"/>
                    <w:pBdr>
                      <w:top w:val="single" w:sz="6" w:space="18" w:color="D0D7DE"/>
                      <w:left w:val="single" w:sz="6" w:space="7" w:color="D0D7DE"/>
                      <w:bottom w:val="single" w:sz="6" w:space="18" w:color="D0D7DE"/>
                      <w:right w:val="single" w:sz="6" w:space="7" w:color="D0D7DE"/>
                    </w:pBdr>
                    <w:spacing w:line="270" w:lineRule="atLeast"/>
                    <w:ind w:left="165" w:right="165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888888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bdr w:val="none" w:sz="0" w:space="0" w:color="auto"/>
                      <w:shd w:val="clear" w:color="auto" w:fill="auto"/>
                    </w:rPr>
                    <w:t>[ 历史通过率折线图 ]</w:t>
                  </w:r>
                </w:p>
              </w:tc>
            </w:tr>
          </w:tbl>
          <w:p>
            <w:pPr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21"/>
                <w:szCs w:val="21"/>
              </w:rPr>
            </w:pP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二级领域通过情况</w:t>
            </w:r>
          </w:p>
          <w:p>
            <w:pPr>
              <w:pStyle w:val="chart-box"/>
              <w:pBdr>
                <w:top w:val="single" w:sz="6" w:space="18" w:color="D0D7DE"/>
                <w:left w:val="single" w:sz="6" w:space="7" w:color="D0D7DE"/>
                <w:bottom w:val="single" w:sz="6" w:space="18" w:color="D0D7DE"/>
                <w:right w:val="single" w:sz="6" w:space="7" w:color="D0D7DE"/>
              </w:pBdr>
              <w:spacing w:line="270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[ 二级领域通过情况折线图 ]</w:t>
            </w: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二级领域得分情况</w:t>
            </w:r>
          </w:p>
          <w:p>
            <w:pPr>
              <w:pStyle w:val="chart-box"/>
              <w:pBdr>
                <w:top w:val="single" w:sz="6" w:space="18" w:color="D0D7DE"/>
                <w:left w:val="single" w:sz="6" w:space="7" w:color="D0D7DE"/>
                <w:bottom w:val="single" w:sz="6" w:space="18" w:color="D0D7DE"/>
                <w:right w:val="single" w:sz="6" w:space="7" w:color="D0D7DE"/>
              </w:pBdr>
              <w:spacing w:line="270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[ 二级领域得分情况柱状图 ]</w:t>
            </w: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二级领域通过率</w:t>
            </w:r>
          </w:p>
          <w:tbl>
            <w:tblPr>
              <w:tblStyle w:val="any"/>
              <w:tblW w:w="5000" w:type="pct"/>
              <w:tblCellSpacing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28"/>
              <w:gridCol w:w="403"/>
              <w:gridCol w:w="4031"/>
            </w:tblGrid>
            <w:tr>
              <w:tblPrEx>
                <w:tblW w:w="5000" w:type="pct"/>
                <w:tblCellSpacing w:w="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2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chart-box"/>
                    <w:pBdr>
                      <w:top w:val="single" w:sz="6" w:space="26" w:color="D0D7DE"/>
                      <w:left w:val="single" w:sz="6" w:space="7" w:color="D0D7DE"/>
                      <w:bottom w:val="single" w:sz="6" w:space="26" w:color="D0D7DE"/>
                      <w:right w:val="single" w:sz="6" w:space="7" w:color="D0D7DE"/>
                    </w:pBdr>
                    <w:spacing w:line="270" w:lineRule="atLeast"/>
                    <w:ind w:left="165" w:right="165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888888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bdr w:val="none" w:sz="0" w:space="0" w:color="auto"/>
                      <w:shd w:val="clear" w:color="auto" w:fill="auto"/>
                    </w:rPr>
                    <w:t>[ 能力雷达图 ]</w:t>
                  </w:r>
                </w:p>
              </w:tc>
              <w:tc>
                <w:tcPr>
                  <w:tcW w:w="25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spacing w:line="315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21"/>
                      <w:szCs w:val="21"/>
                    </w:rPr>
                  </w:pPr>
                </w:p>
              </w:tc>
              <w:tc>
                <w:tcPr>
                  <w:tcW w:w="25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anyParagraph"/>
                    <w:spacing w:after="60" w:line="285" w:lineRule="atLeas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333333"/>
                      <w:sz w:val="19"/>
                      <w:szCs w:val="19"/>
                    </w:rPr>
                  </w:pPr>
                  <w:r>
                    <w:rPr>
                      <w:rStyle w:val="DefaultParagraphFont"/>
                      <w:b/>
                      <w:bCs/>
                      <w:color w:val="333333"/>
                      <w:sz w:val="19"/>
                      <w:szCs w:val="19"/>
                    </w:rPr>
                    <w:t>通过率排名</w:t>
                  </w:r>
                </w:p>
                <w:tbl>
                  <w:tblPr>
                    <w:tblStyle w:val="tabledata-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803"/>
                    <w:gridCol w:w="1607"/>
                    <w:gridCol w:w="1607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W w:w="1000" w:type="pct"/>
                        <w:tcBorders>
                          <w:top w:val="single" w:sz="6" w:space="0" w:color="D0D7DE"/>
                          <w:left w:val="single" w:sz="6" w:space="0" w:color="D0D7DE"/>
                          <w:bottom w:val="single" w:sz="6" w:space="0" w:color="D0D7DE"/>
                          <w:right w:val="single" w:sz="6" w:space="0" w:color="D0D7DE"/>
                        </w:tcBorders>
                        <w:shd w:val="clear" w:color="auto" w:fill="F2F4F8"/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center"/>
                      </w:tcPr>
                      <w:p>
                        <w:pPr>
                          <w:shd w:val="clear" w:color="auto" w:fill="F2F4F8"/>
                          <w:spacing w:line="270" w:lineRule="atLeast"/>
                          <w:jc w:val="left"/>
                          <w:rPr>
                            <w:rStyle w:val="DefaultParagraphFont"/>
                            <w:rFonts w:ascii="宋体" w:eastAsia="宋体" w:hAnsi="宋体" w:cs="宋体"/>
                            <w:b/>
                            <w:bCs/>
                            <w:i w:val="0"/>
                            <w:iCs w:val="0"/>
                            <w:color w:val="444444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b/>
                            <w:bCs/>
                            <w:i w:val="0"/>
                            <w:iCs w:val="0"/>
                            <w:color w:val="444444"/>
                            <w:sz w:val="18"/>
                            <w:szCs w:val="18"/>
                          </w:rPr>
                          <w:t>排名</w:t>
                        </w:r>
                      </w:p>
                    </w:tc>
                    <w:tc>
                      <w:tcPr>
                        <w:tcW w:w="2000" w:type="pct"/>
                        <w:tcBorders>
                          <w:top w:val="single" w:sz="6" w:space="0" w:color="D0D7DE"/>
                          <w:left w:val="single" w:sz="6" w:space="0" w:color="D0D7DE"/>
                          <w:bottom w:val="single" w:sz="6" w:space="0" w:color="D0D7DE"/>
                          <w:right w:val="single" w:sz="6" w:space="0" w:color="D0D7DE"/>
                        </w:tcBorders>
                        <w:shd w:val="clear" w:color="auto" w:fill="F2F4F8"/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center"/>
                      </w:tcPr>
                      <w:p>
                        <w:pPr>
                          <w:shd w:val="clear" w:color="auto" w:fill="F2F4F8"/>
                          <w:spacing w:line="270" w:lineRule="atLeast"/>
                          <w:jc w:val="left"/>
                          <w:rPr>
                            <w:rStyle w:val="DefaultParagraphFont"/>
                            <w:rFonts w:ascii="宋体" w:eastAsia="宋体" w:hAnsi="宋体" w:cs="宋体"/>
                            <w:b/>
                            <w:bCs/>
                            <w:i w:val="0"/>
                            <w:iCs w:val="0"/>
                            <w:color w:val="444444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b/>
                            <w:bCs/>
                            <w:i w:val="0"/>
                            <w:iCs w:val="0"/>
                            <w:color w:val="444444"/>
                            <w:sz w:val="18"/>
                            <w:szCs w:val="18"/>
                          </w:rPr>
                          <w:t>领域</w:t>
                        </w:r>
                      </w:p>
                    </w:tc>
                    <w:tc>
                      <w:tcPr>
                        <w:tcW w:w="2000" w:type="pct"/>
                        <w:tcBorders>
                          <w:top w:val="single" w:sz="6" w:space="0" w:color="D0D7DE"/>
                          <w:left w:val="single" w:sz="6" w:space="0" w:color="D0D7DE"/>
                          <w:bottom w:val="single" w:sz="6" w:space="0" w:color="D0D7DE"/>
                          <w:right w:val="single" w:sz="6" w:space="0" w:color="D0D7DE"/>
                        </w:tcBorders>
                        <w:shd w:val="clear" w:color="auto" w:fill="F2F4F8"/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center"/>
                      </w:tcPr>
                      <w:p>
                        <w:pPr>
                          <w:shd w:val="clear" w:color="auto" w:fill="F2F4F8"/>
                          <w:spacing w:line="270" w:lineRule="atLeast"/>
                          <w:jc w:val="left"/>
                          <w:rPr>
                            <w:rStyle w:val="DefaultParagraphFont"/>
                            <w:rFonts w:ascii="宋体" w:eastAsia="宋体" w:hAnsi="宋体" w:cs="宋体"/>
                            <w:b/>
                            <w:bCs/>
                            <w:i w:val="0"/>
                            <w:iCs w:val="0"/>
                            <w:color w:val="444444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b/>
                            <w:bCs/>
                            <w:i w:val="0"/>
                            <w:iCs w:val="0"/>
                            <w:color w:val="444444"/>
                            <w:sz w:val="18"/>
                            <w:szCs w:val="18"/>
                          </w:rPr>
                          <w:t>通过率</w:t>
                        </w:r>
                      </w:p>
                    </w:tc>
                  </w:tr>
                  <w:tr>
                    <w:tblPrEx>
                      <w:tblW w:w="5000" w:type="pc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10B981"/>
                            <w:sz w:val="18"/>
                            <w:szCs w:val="18"/>
                          </w:rPr>
                          <w:t>1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粗大动作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10B981"/>
                            <w:sz w:val="18"/>
                            <w:szCs w:val="18"/>
                          </w:rPr>
                          <w:t>79.5%</w:t>
                        </w:r>
                      </w:p>
                    </w:tc>
                  </w:tr>
                  <w:tr>
                    <w:tblPrEx>
                      <w:tblW w:w="5000" w:type="pc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  <w:t>2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言语理解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75%</w:t>
                        </w:r>
                      </w:p>
                    </w:tc>
                  </w:tr>
                  <w:tr>
                    <w:tblPrEx>
                      <w:tblW w:w="5000" w:type="pc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  <w:t>3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精细动作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75%</w:t>
                        </w:r>
                      </w:p>
                    </w:tc>
                  </w:tr>
                  <w:tr>
                    <w:tblPrEx>
                      <w:tblW w:w="5000" w:type="pc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  <w:t>6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工作记忆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70%</w:t>
                        </w:r>
                      </w:p>
                    </w:tc>
                  </w:tr>
                  <w:tr>
                    <w:tblPrEx>
                      <w:tblW w:w="5000" w:type="pc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知觉推理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62.5%</w:t>
                        </w:r>
                      </w:p>
                    </w:tc>
                  </w:tr>
                  <w:tr>
                    <w:tblPrEx>
                      <w:tblW w:w="5000" w:type="pct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F59E0B"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333333"/>
                            <w:sz w:val="18"/>
                            <w:szCs w:val="18"/>
                          </w:rPr>
                          <w:t>加工速度</w:t>
                        </w:r>
                      </w:p>
                    </w:tc>
                    <w:tc>
                      <w:tcPr>
                        <w:tcBorders>
                          <w:top w:val="single" w:sz="6" w:space="0" w:color="E1E4E8"/>
                          <w:left w:val="single" w:sz="6" w:space="0" w:color="E1E4E8"/>
                          <w:bottom w:val="single" w:sz="6" w:space="0" w:color="E1E4E8"/>
                          <w:right w:val="single" w:sz="6" w:space="0" w:color="E1E4E8"/>
                        </w:tcBorders>
                        <w:tcMar>
                          <w:top w:w="98" w:type="dxa"/>
                          <w:left w:w="128" w:type="dxa"/>
                          <w:bottom w:w="98" w:type="dxa"/>
                          <w:right w:w="128" w:type="dxa"/>
                        </w:tcMar>
                        <w:vAlign w:val="top"/>
                      </w:tcPr>
                      <w:p>
                        <w:pPr>
                          <w:spacing w:line="270" w:lineRule="atLeast"/>
                          <w:rPr>
                            <w:rStyle w:val="DefaultParagraphFont"/>
                            <w:rFonts w:ascii="宋体" w:eastAsia="宋体" w:hAnsi="宋体" w:cs="宋体"/>
                            <w:i w:val="0"/>
                            <w:iCs w:val="0"/>
                            <w:color w:val="333333"/>
                            <w:sz w:val="18"/>
                            <w:szCs w:val="18"/>
                          </w:rPr>
                        </w:pPr>
                        <w:r>
                          <w:rPr>
                            <w:rStyle w:val="anyCharacter"/>
                            <w:b/>
                            <w:bCs/>
                            <w:color w:val="F59E0B"/>
                            <w:sz w:val="18"/>
                            <w:szCs w:val="18"/>
                          </w:rPr>
                          <w:t>56.25%</w:t>
                        </w:r>
                      </w:p>
                    </w:tc>
                  </w:tr>
                </w:tbl>
                <w:p>
                  <w:pPr>
                    <w:rPr>
                      <w:rStyle w:val="DefaultParagraphFont"/>
                      <w:b/>
                      <w:bCs/>
                      <w:color w:val="333333"/>
                      <w:sz w:val="19"/>
                      <w:szCs w:val="19"/>
                    </w:rPr>
                  </w:pPr>
                </w:p>
              </w:tc>
            </w:tr>
          </w:tbl>
          <w:p>
            <w:pP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</w:pP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2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评估详情</w:t>
            </w:r>
          </w:p>
          <w:tbl>
            <w:tblPr>
              <w:tblStyle w:val="tabledata-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34"/>
              <w:gridCol w:w="1634"/>
              <w:gridCol w:w="1049"/>
              <w:gridCol w:w="1049"/>
              <w:gridCol w:w="1341"/>
              <w:gridCol w:w="1341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</w:trPr>
              <w:tc>
                <w:tcPr>
                  <w:tcBorders>
                    <w:top w:val="single" w:sz="6" w:space="0" w:color="D0D7DE"/>
                    <w:left w:val="single" w:sz="6" w:space="0" w:color="D0D7DE"/>
                    <w:bottom w:val="single" w:sz="6" w:space="0" w:color="D0D7DE"/>
                    <w:right w:val="single" w:sz="6" w:space="0" w:color="D0D7DE"/>
                  </w:tcBorders>
                  <w:shd w:val="clear" w:color="auto" w:fill="F2F4F8"/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center"/>
                </w:tcPr>
                <w:p>
                  <w:pPr>
                    <w:shd w:val="clear" w:color="auto" w:fill="F2F4F8"/>
                    <w:spacing w:line="270" w:lineRule="atLeast"/>
                    <w:jc w:val="lef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  <w:t>评估领域</w:t>
                  </w:r>
                </w:p>
              </w:tc>
              <w:tc>
                <w:tcPr>
                  <w:tcBorders>
                    <w:top w:val="single" w:sz="6" w:space="0" w:color="D0D7DE"/>
                    <w:left w:val="single" w:sz="6" w:space="0" w:color="D0D7DE"/>
                    <w:bottom w:val="single" w:sz="6" w:space="0" w:color="D0D7DE"/>
                    <w:right w:val="single" w:sz="6" w:space="0" w:color="D0D7DE"/>
                  </w:tcBorders>
                  <w:shd w:val="clear" w:color="auto" w:fill="F2F4F8"/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center"/>
                </w:tcPr>
                <w:p>
                  <w:pPr>
                    <w:shd w:val="clear" w:color="auto" w:fill="F2F4F8"/>
                    <w:spacing w:line="270" w:lineRule="atLeast"/>
                    <w:jc w:val="lef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  <w:t>题目数量</w:t>
                  </w:r>
                </w:p>
              </w:tc>
              <w:tc>
                <w:tcPr>
                  <w:tcBorders>
                    <w:top w:val="single" w:sz="6" w:space="0" w:color="D0D7DE"/>
                    <w:left w:val="single" w:sz="6" w:space="0" w:color="D0D7DE"/>
                    <w:bottom w:val="single" w:sz="6" w:space="0" w:color="D0D7DE"/>
                    <w:right w:val="single" w:sz="6" w:space="0" w:color="D0D7DE"/>
                  </w:tcBorders>
                  <w:shd w:val="clear" w:color="auto" w:fill="F2F4F8"/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center"/>
                </w:tcPr>
                <w:p>
                  <w:pPr>
                    <w:shd w:val="clear" w:color="auto" w:fill="F2F4F8"/>
                    <w:spacing w:line="270" w:lineRule="atLeast"/>
                    <w:jc w:val="lef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  <w:t>总分</w:t>
                  </w:r>
                </w:p>
              </w:tc>
              <w:tc>
                <w:tcPr>
                  <w:tcBorders>
                    <w:top w:val="single" w:sz="6" w:space="0" w:color="D0D7DE"/>
                    <w:left w:val="single" w:sz="6" w:space="0" w:color="D0D7DE"/>
                    <w:bottom w:val="single" w:sz="6" w:space="0" w:color="D0D7DE"/>
                    <w:right w:val="single" w:sz="6" w:space="0" w:color="D0D7DE"/>
                  </w:tcBorders>
                  <w:shd w:val="clear" w:color="auto" w:fill="F2F4F8"/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center"/>
                </w:tcPr>
                <w:p>
                  <w:pPr>
                    <w:shd w:val="clear" w:color="auto" w:fill="F2F4F8"/>
                    <w:spacing w:line="270" w:lineRule="atLeast"/>
                    <w:jc w:val="lef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  <w:t>得分</w:t>
                  </w:r>
                </w:p>
              </w:tc>
              <w:tc>
                <w:tcPr>
                  <w:tcBorders>
                    <w:top w:val="single" w:sz="6" w:space="0" w:color="D0D7DE"/>
                    <w:left w:val="single" w:sz="6" w:space="0" w:color="D0D7DE"/>
                    <w:bottom w:val="single" w:sz="6" w:space="0" w:color="D0D7DE"/>
                    <w:right w:val="single" w:sz="6" w:space="0" w:color="D0D7DE"/>
                  </w:tcBorders>
                  <w:shd w:val="clear" w:color="auto" w:fill="F2F4F8"/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center"/>
                </w:tcPr>
                <w:p>
                  <w:pPr>
                    <w:shd w:val="clear" w:color="auto" w:fill="F2F4F8"/>
                    <w:spacing w:line="270" w:lineRule="atLeast"/>
                    <w:jc w:val="lef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  <w:t>通过率</w:t>
                  </w:r>
                </w:p>
              </w:tc>
              <w:tc>
                <w:tcPr>
                  <w:tcBorders>
                    <w:top w:val="single" w:sz="6" w:space="0" w:color="D0D7DE"/>
                    <w:left w:val="single" w:sz="6" w:space="0" w:color="D0D7DE"/>
                    <w:bottom w:val="single" w:sz="6" w:space="0" w:color="D0D7DE"/>
                    <w:right w:val="single" w:sz="6" w:space="0" w:color="D0D7DE"/>
                  </w:tcBorders>
                  <w:shd w:val="clear" w:color="auto" w:fill="F2F4F8"/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center"/>
                </w:tcPr>
                <w:p>
                  <w:pPr>
                    <w:shd w:val="clear" w:color="auto" w:fill="F2F4F8"/>
                    <w:spacing w:line="270" w:lineRule="atLeast"/>
                    <w:jc w:val="left"/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b/>
                      <w:bCs/>
                      <w:i w:val="0"/>
                      <w:iCs w:val="0"/>
                      <w:color w:val="444444"/>
                      <w:sz w:val="18"/>
                      <w:szCs w:val="18"/>
                    </w:rPr>
                    <w:t>结果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言语理解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60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45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75%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2563EB"/>
                      <w:sz w:val="18"/>
                      <w:szCs w:val="18"/>
                    </w:rPr>
                    <w:t>良好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知觉推理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48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62.5%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D97706"/>
                      <w:sz w:val="18"/>
                      <w:szCs w:val="18"/>
                    </w:rPr>
                    <w:t>合格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工作记忆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70%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2563EB"/>
                      <w:sz w:val="18"/>
                      <w:szCs w:val="18"/>
                    </w:rPr>
                    <w:t>良好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加工速度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56.25%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DC2626"/>
                      <w:sz w:val="18"/>
                      <w:szCs w:val="18"/>
                    </w:rPr>
                    <w:t>待提高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精细动作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56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75%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2563EB"/>
                      <w:sz w:val="18"/>
                      <w:szCs w:val="18"/>
                    </w:rPr>
                    <w:t>良好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粗大动作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44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79.5%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059669"/>
                      <w:sz w:val="18"/>
                      <w:szCs w:val="18"/>
                    </w:rPr>
                    <w:t>优秀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社交互动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52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75%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2563EB"/>
                      <w:sz w:val="18"/>
                      <w:szCs w:val="18"/>
                    </w:rPr>
                    <w:t>良好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生活自理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333333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75%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anyCharacter"/>
                      <w:b/>
                      <w:bCs/>
                      <w:color w:val="2563EB"/>
                      <w:sz w:val="18"/>
                      <w:szCs w:val="18"/>
                    </w:rPr>
                    <w:t>良好</w:t>
                  </w:r>
                </w:p>
              </w:tc>
            </w:tr>
          </w:tbl>
          <w:p>
            <w:pP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</w:pP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80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分析与建议</w:t>
            </w:r>
          </w:p>
          <w:p>
            <w:pPr>
              <w:pStyle w:val="suggest-head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综合结果分析</w:t>
            </w:r>
          </w:p>
          <w:p>
            <w:pPr>
              <w:pStyle w:val="suggest-box"/>
              <w:pBdr>
                <w:top w:val="single" w:sz="6" w:space="0" w:color="E1E4E8"/>
                <w:left w:val="single" w:sz="6" w:space="7" w:color="E1E4E8"/>
                <w:bottom w:val="single" w:sz="6" w:space="0" w:color="E1E4E8"/>
                <w:right w:val="single" w:sz="6" w:space="7" w:color="E1E4E8"/>
              </w:pBdr>
              <w:spacing w:after="120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小明在本次评估中表现总体稳定。言语理解能力相对较好，能够理解日常指令和简单问题。知觉推理和工作记忆处于中等水平，需要通过训练来加强。加工速度相对较弱，需要重点关注。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整体而言，小明的学习能力处于正常发展范围内，建议在保持优势领域的同时，重点加强劣势领域的训练。 </w:t>
            </w:r>
          </w:p>
          <w:p>
            <w:pPr>
              <w:pStyle w:val="suggest-head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教育发展建议</w:t>
            </w:r>
          </w:p>
          <w:p>
            <w:pPr>
              <w:pStyle w:val="suggest-box"/>
              <w:pBdr>
                <w:top w:val="single" w:sz="6" w:space="0" w:color="E1E4E8"/>
                <w:left w:val="single" w:sz="6" w:space="7" w:color="E1E4E8"/>
                <w:bottom w:val="single" w:sz="6" w:space="0" w:color="E1E4E8"/>
                <w:right w:val="single" w:sz="6" w:space="7" w:color="E1E4E8"/>
              </w:pBdr>
              <w:spacing w:after="120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针对小明的评估结果，建议在教育方面采取以下措施：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1. </w:t>
            </w:r>
            <w:r>
              <w:rPr>
                <w:rStyle w:val="anyCharacter"/>
                <w:b/>
                <w:bCs/>
                <w:bdr w:val="none" w:sz="0" w:space="0" w:color="auto"/>
                <w:shd w:val="clear" w:color="auto" w:fill="auto"/>
              </w:rPr>
              <w:t>言语理解方面：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继续保持良好的发展势头，可以增加阅读活动，培养他的语言表达能力和理解能力。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2. </w:t>
            </w:r>
            <w:r>
              <w:rPr>
                <w:rStyle w:val="anyCharacter"/>
                <w:b/>
                <w:bCs/>
                <w:bdr w:val="none" w:sz="0" w:space="0" w:color="auto"/>
                <w:shd w:val="clear" w:color="auto" w:fill="auto"/>
              </w:rPr>
              <w:t>知觉推理方面：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通过拼图、积木、图形分类等活动，提升空间认知和逻辑推理能力。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3. </w:t>
            </w:r>
            <w:r>
              <w:rPr>
                <w:rStyle w:val="anyCharacter"/>
                <w:b/>
                <w:bCs/>
                <w:bdr w:val="none" w:sz="0" w:space="0" w:color="auto"/>
                <w:shd w:val="clear" w:color="auto" w:fill="auto"/>
              </w:rPr>
              <w:t>工作记忆方面：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使用记忆游戏、指令复述等训练方法，增强短期记忆和信息处理能力。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4. </w:t>
            </w:r>
            <w:r>
              <w:rPr>
                <w:rStyle w:val="anyCharacter"/>
                <w:b/>
                <w:bCs/>
                <w:bdr w:val="none" w:sz="0" w:space="0" w:color="auto"/>
                <w:shd w:val="clear" w:color="auto" w:fill="auto"/>
              </w:rPr>
              <w:t>加工速度方面：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采用分步骤教学，给予充足的反应时间，逐步提升处理速度。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建议每周安排 3-4 次专项训练，每次 30-45 分钟，循序渐进。 </w:t>
            </w:r>
          </w:p>
          <w:p>
            <w:pPr>
              <w:pStyle w:val="suggest-head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医疗发展建议</w:t>
            </w:r>
          </w:p>
          <w:p>
            <w:pPr>
              <w:pStyle w:val="suggest-box"/>
              <w:pBdr>
                <w:top w:val="single" w:sz="6" w:space="0" w:color="E1E4E8"/>
                <w:left w:val="single" w:sz="6" w:space="7" w:color="E1E4E8"/>
                <w:bottom w:val="single" w:sz="6" w:space="0" w:color="E1E4E8"/>
                <w:right w:val="single" w:sz="6" w:space="7" w:color="E1E4E8"/>
              </w:pBdr>
              <w:spacing w:after="120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从医疗康复角度，建议如下：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1. 定期进行发育评估，监测各项能力的发展变化。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2. 如有必要，可进行感统训练，促进神经系统发育。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3. 关注小明的睡眠质量，保证充足的休息时间。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4. 营养均衡，适当补充促进大脑发育的营养素。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5. 建议每3个月进行一次复查，根据评估结果调整康复方案。 </w:t>
            </w:r>
          </w:p>
          <w:p>
            <w:pPr>
              <w:pStyle w:val="suggest-head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家庭支持建议</w:t>
            </w:r>
          </w:p>
          <w:p>
            <w:pPr>
              <w:pStyle w:val="suggest-box"/>
              <w:pBdr>
                <w:top w:val="single" w:sz="6" w:space="0" w:color="E1E4E8"/>
                <w:left w:val="single" w:sz="6" w:space="7" w:color="E1E4E8"/>
                <w:bottom w:val="single" w:sz="6" w:space="0" w:color="E1E4E8"/>
                <w:right w:val="single" w:sz="6" w:space="7" w:color="E1E4E8"/>
              </w:pBdr>
              <w:spacing w:after="120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家庭环境对小明的发展至关重要。建议家长在日常生活中多与小明进行语言交流，鼓励他表达自己的想法和需求。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可以通过家务活动培养小明的动手能力和逻辑思维。在完成作业或任务时，给予适当的提示和帮助，但不要包办代替。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建立规律的作息时间，保证充足的睡眠和营养。定期与老师沟通，了解小明在学校的表现，家校配合共同促进小明的发展。 </w:t>
            </w:r>
          </w:p>
          <w:p>
            <w:pPr>
              <w:pStyle w:val="suggest-head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社会支持建议</w:t>
            </w:r>
          </w:p>
          <w:p>
            <w:pPr>
              <w:pStyle w:val="suggest-box"/>
              <w:pBdr>
                <w:top w:val="single" w:sz="6" w:space="0" w:color="E1E4E8"/>
                <w:left w:val="single" w:sz="6" w:space="7" w:color="E1E4E8"/>
                <w:bottom w:val="single" w:sz="6" w:space="0" w:color="E1E4E8"/>
                <w:right w:val="single" w:sz="6" w:space="7" w:color="E1E4E8"/>
              </w:pBdr>
              <w:spacing w:after="120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社会支持方面，建议如下：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1. 鼓励小明参与社区活动，增加与同龄人的互动机会。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2. 可以参加特殊教育机构的兴趣班或小组活动，培养社交技能。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3. 利用社区资源，如图书馆、儿童活动中心等，丰富学习和娱乐内容。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>4. 加入家长互助群体，获取经验分享和情感支持。</w:t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i w:val="0"/>
                <w:iCs w:val="0"/>
                <w:bdr w:val="none" w:sz="0" w:space="0" w:color="auto"/>
                <w:shd w:val="clear" w:color="auto" w:fill="auto"/>
              </w:rPr>
              <w:t xml:space="preserve">5. 关注相关政策福利，为小明争取更多的社会资源和支持。 </w:t>
            </w: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00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各领域结果分析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言语理解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before="30"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555555"/>
                <w:sz w:val="18"/>
                <w:szCs w:val="18"/>
              </w:rPr>
            </w:pPr>
            <w:r>
              <w:rPr>
                <w:rStyle w:val="DefaultParagraphFont"/>
                <w:color w:val="555555"/>
                <w:sz w:val="18"/>
                <w:szCs w:val="18"/>
              </w:rPr>
              <w:t>小明在言语理解领域表现良好，能够理解日常用语、简单指令和问题。可以进一步培养他的语言表达能力，鼓励他用完整的句子描述事物。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知觉推理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before="30"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555555"/>
                <w:sz w:val="18"/>
                <w:szCs w:val="18"/>
              </w:rPr>
            </w:pPr>
            <w:r>
              <w:rPr>
                <w:rStyle w:val="DefaultParagraphFont"/>
                <w:color w:val="555555"/>
                <w:sz w:val="18"/>
                <w:szCs w:val="18"/>
              </w:rPr>
              <w:t>知觉推理能力处于中等水平，在空间认知和逻辑推理方面还有提升空间。建议多进行拼图、积木等游戏，培养空间想象力。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工作记忆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before="30"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555555"/>
                <w:sz w:val="18"/>
                <w:szCs w:val="18"/>
              </w:rPr>
            </w:pPr>
            <w:r>
              <w:rPr>
                <w:rStyle w:val="DefaultParagraphFont"/>
                <w:color w:val="555555"/>
                <w:sz w:val="18"/>
                <w:szCs w:val="18"/>
              </w:rPr>
              <w:t>工作记忆表现良好，能够记住简单的指令和信息。可以通过记忆训练游戏进一步增强这方面的能力。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加工速度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before="30"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555555"/>
                <w:sz w:val="18"/>
                <w:szCs w:val="18"/>
              </w:rPr>
            </w:pPr>
            <w:r>
              <w:rPr>
                <w:rStyle w:val="DefaultParagraphFont"/>
                <w:color w:val="555555"/>
                <w:sz w:val="18"/>
                <w:szCs w:val="18"/>
              </w:rPr>
              <w:t>加工速度相对较弱，需要重点关注。这可能影响到学习效率和日常任务完成速度。建议进行专门的反应速度训练。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精细动作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粗大动作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社交互动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b/>
                <w:bCs/>
                <w:color w:val="333333"/>
                <w:sz w:val="18"/>
                <w:szCs w:val="18"/>
              </w:rPr>
              <w:t>生活自理</w:t>
            </w: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32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智能康复系统</w:t>
            </w:r>
          </w:p>
          <w:p>
            <w:pPr>
              <w:pStyle w:val="anyParagraph"/>
              <w:spacing w:after="60" w:line="285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563EB"/>
                <w:sz w:val="19"/>
                <w:szCs w:val="19"/>
              </w:rPr>
            </w:pPr>
            <w:r>
              <w:rPr>
                <w:rStyle w:val="DefaultParagraphFont"/>
                <w:b/>
                <w:bCs/>
                <w:color w:val="2563EB"/>
                <w:sz w:val="19"/>
                <w:szCs w:val="19"/>
              </w:rPr>
              <w:t>● 加工速度</w:t>
            </w:r>
          </w:p>
          <w:tbl>
            <w:tblPr>
              <w:tblStyle w:val="tabledata-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45"/>
              <w:gridCol w:w="7413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400" w:type="pct"/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jc w:val="center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在规定时间内快速识别并匹配相似的符号图案，考察视觉辨别与快速反应能力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jc w:val="center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根据听到的数字序列快速准确地抄写下来，考察听觉记忆与书写速度的结合能力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jc w:val="center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在一组相似图形中快速找出指定的目标图形，考察视觉扫描与细节辨别能力</w:t>
                  </w:r>
                </w:p>
              </w:tc>
            </w:tr>
          </w:tbl>
          <w:p>
            <w:pPr>
              <w:pStyle w:val="anyParagraph"/>
              <w:spacing w:after="60" w:line="285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563EB"/>
                <w:sz w:val="19"/>
                <w:szCs w:val="19"/>
              </w:rPr>
            </w:pPr>
            <w:r>
              <w:rPr>
                <w:rStyle w:val="DefaultParagraphFont"/>
                <w:b/>
                <w:bCs/>
                <w:color w:val="2563EB"/>
                <w:sz w:val="19"/>
                <w:szCs w:val="19"/>
              </w:rPr>
              <w:t>● 知觉推理</w:t>
            </w:r>
          </w:p>
          <w:tbl>
            <w:tblPr>
              <w:tblStyle w:val="tabledata-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45"/>
              <w:gridCol w:w="7413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400" w:type="pct"/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jc w:val="center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根据图形的形状、颜色、大小等特征将其归类到正确的类别中，考察分类归纳与逻辑思维能力</w:t>
                  </w:r>
                </w:p>
              </w:tc>
            </w:tr>
            <w:tr>
              <w:tblPrEx>
                <w:tblW w:w="5000" w:type="pct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jc w:val="center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Borders>
                    <w:top w:val="single" w:sz="6" w:space="0" w:color="E1E4E8"/>
                    <w:left w:val="single" w:sz="6" w:space="0" w:color="E1E4E8"/>
                    <w:bottom w:val="single" w:sz="6" w:space="0" w:color="E1E4E8"/>
                    <w:right w:val="single" w:sz="6" w:space="0" w:color="E1E4E8"/>
                  </w:tcBorders>
                  <w:tcMar>
                    <w:top w:w="98" w:type="dxa"/>
                    <w:left w:w="128" w:type="dxa"/>
                    <w:bottom w:w="98" w:type="dxa"/>
                    <w:right w:w="128" w:type="dxa"/>
                  </w:tcMar>
                  <w:vAlign w:val="top"/>
                </w:tcPr>
                <w:p>
                  <w:pPr>
                    <w:spacing w:line="270" w:lineRule="atLeast"/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</w:pPr>
                  <w:r>
                    <w:rPr>
                      <w:rStyle w:val="DefaultParagraphFont"/>
                      <w:rFonts w:ascii="宋体" w:eastAsia="宋体" w:hAnsi="宋体" w:cs="宋体"/>
                      <w:i w:val="0"/>
                      <w:iCs w:val="0"/>
                      <w:color w:val="333333"/>
                      <w:sz w:val="18"/>
                      <w:szCs w:val="18"/>
                    </w:rPr>
                    <w:t>想象并描述从不同角度观察物体时的样子，考察空间认知与心理旋转能力</w:t>
                  </w:r>
                </w:p>
              </w:tc>
            </w:tr>
          </w:tbl>
          <w:p>
            <w:pPr>
              <w:rPr>
                <w:rStyle w:val="DefaultParagraphFont"/>
                <w:b/>
                <w:bCs/>
                <w:color w:val="2563EB"/>
                <w:sz w:val="19"/>
                <w:szCs w:val="19"/>
              </w:rPr>
            </w:pPr>
          </w:p>
        </w:tc>
      </w:tr>
    </w:tbl>
    <w:p>
      <w:pPr>
        <w:rPr>
          <w:vanish/>
        </w:rPr>
      </w:pPr>
    </w:p>
    <w:tbl>
      <w:tblPr>
        <w:tblStyle w:val="tablecard-table"/>
        <w:tblW w:w="5000" w:type="pct"/>
        <w:tblInd w:w="188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60"/>
      </w:tblGrid>
      <w:tr>
        <w:tblPrEx>
          <w:tblW w:w="5000" w:type="pct"/>
          <w:tblInd w:w="188" w:type="dxa"/>
          <w:tblBorders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  <w:vAlign w:val="top"/>
          </w:tcPr>
          <w:p>
            <w:pPr>
              <w:pStyle w:val="section-header"/>
              <w:spacing w:line="330" w:lineRule="atLeast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222222"/>
                <w:sz w:val="22"/>
                <w:szCs w:val="22"/>
              </w:rPr>
            </w:pPr>
            <w:r>
              <w:rPr>
                <w:rStyle w:val="DefaultParagraphFont"/>
                <w:rFonts w:ascii="宋体" w:eastAsia="宋体" w:hAnsi="宋体" w:cs="宋体"/>
                <w:i w:val="0"/>
                <w:iCs w:val="0"/>
              </w:rPr>
              <w:t>教育建议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b/>
                <w:bCs/>
                <w:color w:val="111111"/>
                <w:sz w:val="19"/>
                <w:szCs w:val="19"/>
              </w:rPr>
              <w:t>课堂表现与社交发展建议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272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7"/>
                <w:szCs w:val="17"/>
              </w:rPr>
            </w:pPr>
            <w:r>
              <w:rPr>
                <w:rStyle w:val="DefaultParagraphFont"/>
                <w:color w:val="888888"/>
                <w:sz w:val="17"/>
                <w:szCs w:val="17"/>
              </w:rPr>
              <w:t>班主任    2024-03-16 09:30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12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color w:val="333333"/>
                <w:sz w:val="18"/>
                <w:szCs w:val="18"/>
              </w:rPr>
              <w:t>小明在课堂上表现良好，能够遵守纪律。建议在课堂上多给予他回答问题的机会，培养他的自信心。在小组活动中，可以安排他与表达能力较强的同学一组，促进他的语言发展。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line="304" w:lineRule="atLeast"/>
              <w:ind w:left="165" w:right="165"/>
              <w:rPr>
                <w:rStyle w:val="DefaultParagraphFont"/>
                <w:rFonts w:ascii="宋体" w:eastAsia="宋体" w:hAnsi="宋体" w:cs="宋体"/>
                <w:b/>
                <w:bCs/>
                <w:i w:val="0"/>
                <w:iCs w:val="0"/>
                <w:color w:val="111111"/>
                <w:sz w:val="19"/>
                <w:szCs w:val="19"/>
              </w:rPr>
            </w:pPr>
            <w:r>
              <w:rPr>
                <w:rStyle w:val="DefaultParagraphFont"/>
                <w:b/>
                <w:bCs/>
                <w:color w:val="111111"/>
                <w:sz w:val="19"/>
                <w:szCs w:val="19"/>
              </w:rPr>
              <w:t>精细动作训练建议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60" w:line="272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888888"/>
                <w:sz w:val="17"/>
                <w:szCs w:val="17"/>
              </w:rPr>
            </w:pPr>
            <w:r>
              <w:rPr>
                <w:rStyle w:val="DefaultParagraphFont"/>
                <w:color w:val="888888"/>
                <w:sz w:val="17"/>
                <w:szCs w:val="17"/>
              </w:rPr>
              <w:t>运动康复老师    2024-03-15 14:20</w:t>
            </w:r>
          </w:p>
          <w:p>
            <w:pPr>
              <w:pStyle w:val="anyParagraph"/>
              <w:pBdr>
                <w:top w:val="single" w:sz="6" w:space="0" w:color="E1E4E8"/>
                <w:left w:val="single" w:sz="6" w:space="0" w:color="E1E4E8"/>
                <w:bottom w:val="single" w:sz="6" w:space="0" w:color="E1E4E8"/>
                <w:right w:val="single" w:sz="6" w:space="0" w:color="E1E4E8"/>
              </w:pBdr>
              <w:shd w:val="clear" w:color="auto" w:fill="F8FAFC"/>
              <w:spacing w:after="0" w:line="288" w:lineRule="atLeast"/>
              <w:ind w:left="165" w:right="165"/>
              <w:rPr>
                <w:rStyle w:val="DefaultParagraphFont"/>
                <w:rFonts w:ascii="宋体" w:eastAsia="宋体" w:hAnsi="宋体" w:cs="宋体"/>
                <w:i w:val="0"/>
                <w:iCs w:val="0"/>
                <w:color w:val="333333"/>
                <w:sz w:val="18"/>
                <w:szCs w:val="18"/>
              </w:rPr>
            </w:pPr>
            <w:r>
              <w:rPr>
                <w:rStyle w:val="DefaultParagraphFont"/>
                <w:color w:val="333333"/>
                <w:sz w:val="18"/>
                <w:szCs w:val="18"/>
              </w:rPr>
              <w:t>小明的精细动作发展还需要加强。建议在日常训练中增加一些手工活动，如串珠子、折纸等。大肌肉运动方面，小明表现较好，可以继续保持。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title-main">
    <w:name w:val="title-main"/>
    <w:basedOn w:val="Normal"/>
    <w:rPr>
      <w:b/>
      <w:bCs/>
      <w:color w:val="1A1D20"/>
      <w:sz w:val="30"/>
      <w:szCs w:val="30"/>
    </w:rPr>
  </w:style>
  <w:style w:type="paragraph" w:customStyle="1" w:styleId="title-sub">
    <w:name w:val="title-sub"/>
    <w:basedOn w:val="Normal"/>
    <w:rPr>
      <w:color w:val="888888"/>
      <w:sz w:val="18"/>
      <w:szCs w:val="18"/>
    </w:rPr>
  </w:style>
  <w:style w:type="table" w:customStyle="1" w:styleId="tablecard-table">
    <w:name w:val="table_card-table"/>
    <w:basedOn w:val="TableNormal"/>
    <w:tblPr/>
  </w:style>
  <w:style w:type="paragraph" w:customStyle="1" w:styleId="section-header">
    <w:name w:val="section-header"/>
    <w:basedOn w:val="Normal"/>
    <w:pPr>
      <w:pBdr>
        <w:bottom w:val="none" w:sz="0" w:space="4" w:color="auto"/>
      </w:pBdr>
    </w:pPr>
    <w:rPr>
      <w:b/>
      <w:bCs/>
      <w:color w:val="222222"/>
      <w:sz w:val="22"/>
      <w:szCs w:val="22"/>
    </w:rPr>
  </w:style>
  <w:style w:type="character" w:customStyle="1" w:styleId="info-label">
    <w:name w:val="info-label"/>
    <w:basedOn w:val="DefaultParagraphFont"/>
    <w:rPr>
      <w:color w:val="888888"/>
      <w:sz w:val="18"/>
      <w:szCs w:val="18"/>
    </w:rPr>
  </w:style>
  <w:style w:type="character" w:customStyle="1" w:styleId="info-value">
    <w:name w:val="info-value"/>
    <w:basedOn w:val="DefaultParagraphFont"/>
    <w:rPr>
      <w:b/>
      <w:bCs/>
      <w:color w:val="222222"/>
      <w:sz w:val="19"/>
      <w:szCs w:val="19"/>
    </w:rPr>
  </w:style>
  <w:style w:type="table" w:customStyle="1" w:styleId="any">
    <w:name w:val="any"/>
    <w:basedOn w:val="TableNormal"/>
    <w:tblPr/>
  </w:style>
  <w:style w:type="paragraph" w:customStyle="1" w:styleId="info-labelParagraph">
    <w:name w:val="info-label Paragraph"/>
    <w:basedOn w:val="Normal"/>
    <w:rPr>
      <w:color w:val="888888"/>
      <w:sz w:val="18"/>
      <w:szCs w:val="18"/>
    </w:rPr>
  </w:style>
  <w:style w:type="paragraph" w:customStyle="1" w:styleId="anyParagraph">
    <w:name w:val="any Paragraph"/>
    <w:basedOn w:val="Normal"/>
    <w:rPr>
      <w:rFonts w:ascii="宋体" w:eastAsia="宋体" w:hAnsi="宋体" w:cs="宋体"/>
      <w:i w:val="0"/>
      <w:iCs w:val="0"/>
    </w:rPr>
  </w:style>
  <w:style w:type="character" w:customStyle="1" w:styleId="anyCharacter">
    <w:name w:val="any Character"/>
    <w:basedOn w:val="DefaultParagraphFont"/>
    <w:rPr>
      <w:rFonts w:ascii="宋体" w:eastAsia="宋体" w:hAnsi="宋体" w:cs="宋体"/>
      <w:i w:val="0"/>
      <w:iCs w:val="0"/>
    </w:rPr>
  </w:style>
  <w:style w:type="table" w:customStyle="1" w:styleId="tablekpi-grid">
    <w:name w:val="table_kpi-grid"/>
    <w:basedOn w:val="TableNormal"/>
    <w:tblPr/>
  </w:style>
  <w:style w:type="paragraph" w:customStyle="1" w:styleId="chart-box">
    <w:name w:val="chart-box"/>
    <w:basedOn w:val="Normal"/>
    <w:pPr>
      <w:pBdr>
        <w:top w:val="single" w:sz="6" w:space="18" w:color="D0D7DE"/>
        <w:left w:val="single" w:sz="6" w:space="7" w:color="D0D7DE"/>
        <w:bottom w:val="single" w:sz="6" w:space="18" w:color="D0D7DE"/>
        <w:right w:val="single" w:sz="6" w:space="7" w:color="D0D7DE"/>
      </w:pBdr>
      <w:shd w:val="clear" w:color="auto" w:fill="F8FAFC"/>
      <w:jc w:val="center"/>
    </w:pPr>
    <w:rPr>
      <w:color w:val="888888"/>
      <w:sz w:val="18"/>
      <w:szCs w:val="18"/>
      <w:bdr w:val="single" w:sz="6" w:space="0" w:color="D0D7DE"/>
      <w:shd w:val="clear" w:color="auto" w:fill="F8FAFC"/>
    </w:rPr>
  </w:style>
  <w:style w:type="table" w:customStyle="1" w:styleId="tabledata-table">
    <w:name w:val="table_data-table"/>
    <w:basedOn w:val="TableNormal"/>
    <w:tblPr/>
  </w:style>
  <w:style w:type="paragraph" w:customStyle="1" w:styleId="suggest-box">
    <w:name w:val="suggest-box"/>
    <w:basedOn w:val="Normal"/>
    <w:pPr>
      <w:pBdr>
        <w:top w:val="single" w:sz="6" w:space="6" w:color="E1E4E8"/>
        <w:left w:val="single" w:sz="6" w:space="7" w:color="E1E4E8"/>
        <w:bottom w:val="single" w:sz="6" w:space="6" w:color="E1E4E8"/>
        <w:right w:val="single" w:sz="6" w:space="7" w:color="E1E4E8"/>
      </w:pBdr>
      <w:shd w:val="clear" w:color="auto" w:fill="F8FAFC"/>
      <w:spacing w:line="288" w:lineRule="atLeast"/>
    </w:pPr>
    <w:rPr>
      <w:color w:val="333333"/>
      <w:sz w:val="18"/>
      <w:szCs w:val="18"/>
      <w:bdr w:val="single" w:sz="6" w:space="0" w:color="E1E4E8"/>
      <w:shd w:val="clear" w:color="auto" w:fill="F8FAFC"/>
    </w:rPr>
  </w:style>
  <w:style w:type="paragraph" w:customStyle="1" w:styleId="suggest-head">
    <w:name w:val="suggest-head"/>
    <w:basedOn w:val="Normal"/>
    <w:rPr>
      <w:b/>
      <w:bCs/>
      <w:color w:val="111111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认知能力评估报告</dc:title>
  <cp:revision>1</cp:revision>
</cp:coreProperties>
</file>