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15.8.0.0 -->
  <w:body>
    <w:tbl>
      <w:tblPr>
        <w:tblW w:w="5000" w:type="pct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25"/>
      </w:tblGrid>
      <w:tr>
        <w:tblPrEx>
          <w:tblW w:w="5000" w:type="pct"/>
          <w:tblInd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bottom w:val="single" w:sz="12" w:space="0" w:color="EDF2F7"/>
            </w:tcBorders>
            <w:tcMar>
              <w:top w:w="15" w:type="dxa"/>
              <w:left w:w="15" w:type="dxa"/>
              <w:bottom w:w="165" w:type="dxa"/>
              <w:right w:w="15" w:type="dxa"/>
            </w:tcMar>
            <w:vAlign w:val="center"/>
          </w:tcPr>
          <w:p>
            <w:pP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1A202C"/>
                <w:sz w:val="44"/>
                <w:szCs w:val="44"/>
                <w:lang w:val="zh-CN" w:eastAsia="zh-CN"/>
              </w:rPr>
              <w:t xml:space="preserve">学校适应能力评估 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基本信息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学生姓名、性别、年龄等基础信息</w:t>
      </w:r>
    </w:p>
    <w:tbl>
      <w:tblPr>
        <w:tblW w:w="5000" w:type="pct"/>
        <w:tblInd w:w="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AFAFA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825"/>
        <w:gridCol w:w="2825"/>
      </w:tblGrid>
      <w:tr>
        <w:tblPrEx>
          <w:tblW w:w="5000" w:type="pct"/>
          <w:tblInd w:w="1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学生姓名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黄五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性别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男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年龄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0</w:t>
            </w:r>
          </w:p>
        </w:tc>
      </w:tr>
      <w:tr>
        <w:tblPrEx>
          <w:tblW w:w="5000" w:type="pct"/>
          <w:tblInd w:w="166" w:type="dxa"/>
          <w:shd w:val="clear" w:color="auto" w:fill="FAFAF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学生类型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自闭谱系障碍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评估日期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A0AEC0"/>
                <w:sz w:val="21"/>
                <w:szCs w:val="21"/>
                <w:lang w:val="zh-CN" w:eastAsia="zh-CN"/>
              </w:rPr>
              <w:t>2026-06-25</w:t>
            </w:r>
          </w:p>
        </w:tc>
        <w:tc>
          <w:tcPr>
            <w:tcW w:w="1666" w:type="pct"/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AFAFA"/>
            <w:tcMar>
              <w:top w:w="158" w:type="dxa"/>
              <w:left w:w="158" w:type="dxa"/>
              <w:bottom w:w="158" w:type="dxa"/>
              <w:right w:w="158" w:type="dxa"/>
            </w:tcMar>
            <w:vAlign w:val="top"/>
          </w:tcPr>
          <w:p>
            <w:pPr>
              <w:spacing w:after="75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19"/>
                <w:szCs w:val="19"/>
                <w:lang w:val="zh-CN" w:eastAsia="zh-CN"/>
              </w:rPr>
              <w:t>康复师</w:t>
            </w:r>
          </w:p>
          <w:p>
            <w:pPr>
              <w:pBdr>
                <w:top w:val="single" w:sz="6" w:space="6" w:color="EDF2F7"/>
                <w:left w:val="single" w:sz="6" w:space="6" w:color="EDF2F7"/>
                <w:bottom w:val="single" w:sz="6" w:space="6" w:color="EDF2F7"/>
                <w:right w:val="single" w:sz="6" w:space="6" w:color="EDF2F7"/>
              </w:pBdr>
              <w:shd w:val="clear" w:color="auto" w:fill="FFFFFF"/>
              <w:ind w:left="135" w:right="135"/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333333"/>
                <w:sz w:val="21"/>
                <w:szCs w:val="21"/>
                <w:lang w:val="zh-CN" w:eastAsia="zh-CN"/>
              </w:rPr>
              <w:t>李四</w:t>
            </w:r>
          </w:p>
        </w:tc>
      </w:tr>
    </w:tbl>
    <w:p>
      <w:pPr>
        <w:spacing w:before="375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IEP总数据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学生IEP计划整体情况概览</w:t>
      </w:r>
    </w:p>
    <w:tbl>
      <w:tblPr>
        <w:tblW w:w="5000" w:type="pct"/>
        <w:tblCellSpacing w:w="60" w:type="dxa"/>
        <w:tblInd w:w="-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2"/>
        <w:gridCol w:w="1662"/>
        <w:gridCol w:w="1662"/>
        <w:gridCol w:w="1662"/>
        <w:gridCol w:w="1662"/>
      </w:tblGrid>
      <w:tr>
        <w:tblPrEx>
          <w:tblW w:w="5000" w:type="pct"/>
          <w:tblCellSpacing w:w="60" w:type="dxa"/>
          <w:tblInd w:w="-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60" w:type="dxa"/>
        </w:trPr>
        <w:tc>
          <w:tcPr>
            <w:tcW w:w="1000" w:type="pct"/>
            <w:tcBorders>
              <w:top w:val="single" w:sz="6" w:space="0" w:color="BEE3F8"/>
              <w:left w:val="single" w:sz="6" w:space="0" w:color="BEE3F8"/>
              <w:bottom w:val="single" w:sz="6" w:space="0" w:color="BEE3F8"/>
              <w:right w:val="single" w:sz="6" w:space="0" w:color="BEE3F8"/>
            </w:tcBorders>
            <w:shd w:val="clear" w:color="auto" w:fill="EBF8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EBF8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B6CB0"/>
                <w:sz w:val="40"/>
                <w:szCs w:val="40"/>
                <w:lang w:val="zh-CN" w:eastAsia="zh-CN"/>
              </w:rPr>
              <w:t>1</w:t>
            </w:r>
          </w:p>
          <w:p>
            <w:pPr>
              <w:shd w:val="clear" w:color="auto" w:fill="EBF8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B6CB0"/>
                <w:sz w:val="17"/>
                <w:szCs w:val="17"/>
                <w:lang w:val="zh-CN" w:eastAsia="zh-CN"/>
              </w:rPr>
              <w:t>IEP报告数</w:t>
            </w:r>
          </w:p>
        </w:tc>
        <w:tc>
          <w:tcPr>
            <w:tcW w:w="1000" w:type="pct"/>
            <w:tcBorders>
              <w:top w:val="single" w:sz="6" w:space="0" w:color="E9D8FD"/>
              <w:left w:val="single" w:sz="6" w:space="0" w:color="E9D8FD"/>
              <w:bottom w:val="single" w:sz="6" w:space="0" w:color="E9D8FD"/>
              <w:right w:val="single" w:sz="6" w:space="0" w:color="E9D8FD"/>
            </w:tcBorders>
            <w:shd w:val="clear" w:color="auto" w:fill="FAF5FF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AF5FF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6B46C1"/>
                <w:sz w:val="40"/>
                <w:szCs w:val="40"/>
                <w:lang w:val="zh-CN" w:eastAsia="zh-CN"/>
              </w:rPr>
              <w:t>3</w:t>
            </w:r>
          </w:p>
          <w:p>
            <w:pPr>
              <w:shd w:val="clear" w:color="auto" w:fill="FAF5FF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6B46C1"/>
                <w:sz w:val="17"/>
                <w:szCs w:val="17"/>
                <w:lang w:val="zh-CN" w:eastAsia="zh-CN"/>
              </w:rPr>
              <w:t>长期目标总数</w:t>
            </w:r>
          </w:p>
        </w:tc>
        <w:tc>
          <w:tcPr>
            <w:tcW w:w="1000" w:type="pct"/>
            <w:tcBorders>
              <w:top w:val="single" w:sz="6" w:space="0" w:color="C6F6D5"/>
              <w:left w:val="single" w:sz="6" w:space="0" w:color="C6F6D5"/>
              <w:bottom w:val="single" w:sz="6" w:space="0" w:color="C6F6D5"/>
              <w:right w:val="single" w:sz="6" w:space="0" w:color="C6F6D5"/>
            </w:tcBorders>
            <w:shd w:val="clear" w:color="auto" w:fill="F0FFF4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0FFF4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2F855A"/>
                <w:sz w:val="40"/>
                <w:szCs w:val="40"/>
                <w:lang w:val="zh-CN" w:eastAsia="zh-CN"/>
              </w:rPr>
              <w:t>7</w:t>
            </w:r>
          </w:p>
          <w:p>
            <w:pPr>
              <w:shd w:val="clear" w:color="auto" w:fill="F0FFF4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F855A"/>
                <w:sz w:val="17"/>
                <w:szCs w:val="17"/>
                <w:lang w:val="zh-CN" w:eastAsia="zh-CN"/>
              </w:rPr>
              <w:t>短期目标总数</w:t>
            </w:r>
          </w:p>
        </w:tc>
        <w:tc>
          <w:tcPr>
            <w:tcW w:w="1000" w:type="pct"/>
            <w:tcBorders>
              <w:top w:val="single" w:sz="6" w:space="0" w:color="FEEBC8"/>
              <w:left w:val="single" w:sz="6" w:space="0" w:color="FEEBC8"/>
              <w:bottom w:val="single" w:sz="6" w:space="0" w:color="FEEBC8"/>
              <w:right w:val="single" w:sz="6" w:space="0" w:color="FEEBC8"/>
            </w:tcBorders>
            <w:shd w:val="clear" w:color="auto" w:fill="FFFAF0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AF0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DD6B20"/>
                <w:sz w:val="40"/>
                <w:szCs w:val="40"/>
                <w:lang w:val="zh-CN" w:eastAsia="zh-CN"/>
              </w:rPr>
              <w:t>0.0%</w:t>
            </w:r>
          </w:p>
          <w:p>
            <w:pPr>
              <w:shd w:val="clear" w:color="auto" w:fill="FFFAF0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DD6B20"/>
                <w:sz w:val="17"/>
                <w:szCs w:val="17"/>
                <w:lang w:val="zh-CN" w:eastAsia="zh-CN"/>
              </w:rPr>
              <w:t>IEP通过率</w:t>
            </w:r>
          </w:p>
        </w:tc>
        <w:tc>
          <w:tcPr>
            <w:tcW w:w="1000" w:type="pct"/>
            <w:tcBorders>
              <w:top w:val="single" w:sz="6" w:space="0" w:color="FED7D7"/>
              <w:left w:val="single" w:sz="6" w:space="0" w:color="FED7D7"/>
              <w:bottom w:val="single" w:sz="6" w:space="0" w:color="FED7D7"/>
              <w:right w:val="single" w:sz="6" w:space="0" w:color="FED7D7"/>
            </w:tcBorders>
            <w:shd w:val="clear" w:color="auto" w:fill="FFF5F5"/>
            <w:tcMar>
              <w:top w:w="188" w:type="dxa"/>
              <w:left w:w="82" w:type="dxa"/>
              <w:bottom w:w="188" w:type="dxa"/>
              <w:right w:w="82" w:type="dxa"/>
            </w:tcMar>
            <w:vAlign w:val="center"/>
          </w:tcPr>
          <w:p>
            <w:pPr>
              <w:shd w:val="clear" w:color="auto" w:fill="FFF5F5"/>
              <w:spacing w:line="480" w:lineRule="atLeast"/>
              <w:jc w:val="center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C53030"/>
                <w:sz w:val="40"/>
                <w:szCs w:val="40"/>
                <w:lang w:val="zh-CN" w:eastAsia="zh-CN"/>
              </w:rPr>
              <w:t>0</w:t>
            </w:r>
          </w:p>
          <w:p>
            <w:pPr>
              <w:shd w:val="clear" w:color="auto" w:fill="FFF5F5"/>
              <w:spacing w:before="60"/>
              <w:jc w:val="center"/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C53030"/>
                <w:sz w:val="17"/>
                <w:szCs w:val="17"/>
                <w:lang w:val="zh-CN" w:eastAsia="zh-CN"/>
              </w:rPr>
              <w:t>专业支持人员</w:t>
            </w:r>
          </w:p>
        </w:tc>
      </w:tr>
    </w:tbl>
    <w:p>
      <w:pPr>
        <w:spacing w:before="300" w:after="30"/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b/>
          <w:bCs/>
          <w:color w:val="2D3748"/>
          <w:sz w:val="30"/>
          <w:szCs w:val="30"/>
          <w:lang w:val="zh-CN" w:eastAsia="zh-CN"/>
        </w:rPr>
        <w:t>IEP个别化教育计划清单</w:t>
      </w:r>
    </w:p>
    <w:p>
      <w:pPr>
        <w:spacing w:before="0" w:after="225"/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</w:pPr>
      <w:r>
        <w:rPr>
          <w:rStyle w:val="DefaultParagraphFont"/>
          <w:rFonts w:ascii="Microsoft YaHei" w:eastAsia="Microsoft YaHei" w:hAnsi="Microsoft YaHei" w:cs="Microsoft YaHei"/>
          <w:color w:val="718096"/>
          <w:sz w:val="20"/>
          <w:szCs w:val="20"/>
          <w:lang w:val="zh-CN" w:eastAsia="zh-CN"/>
        </w:rPr>
        <w:t>长期目标（评估领域）、短期目标（评估条目）</w:t>
      </w: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测试领域1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【基础信息认知】清楚知道自己所在的年级、班级以及班主任/资源教师的姓名。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【基础信息认知】能准确说出或通过沟通辅具表达学校名称及大致地理位置。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短期目标1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8444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生活自理与生理需求管理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【个人卫生与仪容】具备基本的卫生习惯（饭前便后洗手，打喷嚏时知道遮掩）。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【如厕能力】能准确区分男/女卫生间，不进错卫生间。</w:t>
            </w:r>
          </w:p>
        </w:tc>
      </w:tr>
    </w:tbl>
    <w:p>
      <w:pPr>
        <w:rPr>
          <w:vanish/>
        </w:rPr>
      </w:pPr>
    </w:p>
    <w:tbl>
      <w:tblPr>
        <w:tblW w:w="5000" w:type="pct"/>
        <w:tblInd w:w="1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276"/>
      </w:tblGrid>
      <w:tr>
        <w:tblPrEx>
          <w:tblW w:w="5000" w:type="pct"/>
          <w:tblInd w:w="19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2E8F0"/>
              <w:left w:val="single" w:sz="6" w:space="0" w:color="E2E8F0"/>
              <w:bottom w:val="single" w:sz="6" w:space="0" w:color="E2E8F0"/>
              <w:right w:val="single" w:sz="6" w:space="0" w:color="E2E8F0"/>
            </w:tcBorders>
            <w:shd w:val="clear" w:color="auto" w:fill="F7FAFC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7FAFC"/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b/>
                <w:bCs/>
                <w:color w:val="4A5568"/>
                <w:sz w:val="22"/>
                <w:szCs w:val="22"/>
                <w:lang w:val="zh-CN" w:eastAsia="zh-CN"/>
              </w:rPr>
              <w:t>学校环境与常规适应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【作息与规则】能理解并执行基本的班级值日任务（如擦黑板、倒垃圾、整理图书角等）。</w:t>
            </w:r>
          </w:p>
        </w:tc>
      </w:tr>
      <w:tr>
        <w:tblPrEx>
          <w:tblW w:w="5000" w:type="pct"/>
          <w:tblInd w:w="196" w:type="dxa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Borders>
              <w:top w:val="single" w:sz="6" w:space="0" w:color="EDF2F7"/>
              <w:left w:val="single" w:sz="6" w:space="0" w:color="EDF2F7"/>
              <w:bottom w:val="single" w:sz="6" w:space="0" w:color="EDF2F7"/>
              <w:right w:val="single" w:sz="6" w:space="0" w:color="EDF2F7"/>
            </w:tcBorders>
            <w:shd w:val="clear" w:color="auto" w:fill="FFFFFF"/>
            <w:tcMar>
              <w:top w:w="188" w:type="dxa"/>
              <w:left w:w="188" w:type="dxa"/>
              <w:bottom w:w="188" w:type="dxa"/>
              <w:right w:w="188" w:type="dxa"/>
            </w:tcMar>
            <w:vAlign w:val="center"/>
          </w:tcPr>
          <w:p>
            <w:pPr>
              <w:shd w:val="clear" w:color="auto" w:fill="FFFFFF"/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</w:pPr>
            <w:r>
              <w:rPr>
                <w:rStyle w:val="DefaultParagraphFont"/>
                <w:rFonts w:ascii="Microsoft YaHei" w:eastAsia="Microsoft YaHei" w:hAnsi="Microsoft YaHei" w:cs="Microsoft YaHei"/>
                <w:color w:val="2D3748"/>
                <w:sz w:val="21"/>
                <w:szCs w:val="21"/>
                <w:lang w:val="zh-CN" w:eastAsia="zh-CN"/>
              </w:rPr>
              <w:t>【空间与导向】能准确定位并找到教室内外的主要功能区（如自己的座位、卫生间、资源教室、操场等）。</w:t>
            </w:r>
          </w:p>
        </w:tc>
      </w:tr>
    </w:tbl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学校适应能力评估 - IEP报告</dc:title>
  <cp:revision>1</cp:revision>
</cp:coreProperties>
</file>