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5.8.0.0 -->
  <w:body>
    <w:p>
      <w:pPr>
        <w:pStyle w:val="page-title"/>
        <w:pBdr>
          <w:top w:val="single" w:sz="6" w:space="0" w:color="E0EAF4"/>
          <w:left w:val="single" w:sz="6" w:space="0" w:color="E0EAF4"/>
          <w:bottom w:val="single" w:sz="6" w:space="0" w:color="E0EAF4"/>
          <w:right w:val="single" w:sz="6" w:space="0" w:color="E0EAF4"/>
        </w:pBdr>
        <w:shd w:val="clear" w:color="auto" w:fill="F7FAFD"/>
        <w:spacing w:before="150" w:after="240"/>
        <w:ind w:left="255" w:right="255"/>
        <w:rPr>
          <w:rStyle w:val="DefaultParagraphFont"/>
          <w:rFonts w:ascii="微软雅黑" w:eastAsia="微软雅黑" w:hAnsi="微软雅黑" w:cs="微软雅黑"/>
          <w:b/>
          <w:bCs/>
          <w:color w:val="222222"/>
          <w:sz w:val="23"/>
          <w:szCs w:val="23"/>
          <w:lang w:val="zh-CN" w:eastAsia="zh-CN"/>
        </w:rPr>
      </w:pPr>
      <w:r>
        <w:rPr>
          <w:rStyle w:val="DefaultParagraphFont"/>
          <w:rFonts w:ascii="微软雅黑" w:eastAsia="微软雅黑" w:hAnsi="微软雅黑" w:cs="微软雅黑"/>
          <w:lang w:val="zh-CN" w:eastAsia="zh-CN"/>
        </w:rPr>
        <w:t>📄 语文学科一年级上学期评估第1次评估:2026-07-28</w:t>
      </w:r>
    </w:p>
    <w:tbl>
      <w:tblPr>
        <w:tblStyle w:val="any"/>
        <w:tblW w:w="5000" w:type="pct"/>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5184"/>
        <w:gridCol w:w="3456"/>
      </w:tblGrid>
      <w:tr>
        <w:tblPrEx>
          <w:tblW w:w="5000" w:type="pct"/>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c>
          <w:tcPr>
            <w:tcW w:w="3000" w:type="pct"/>
            <w:tcMar>
              <w:top w:w="0" w:type="dxa"/>
              <w:left w:w="0" w:type="dxa"/>
              <w:bottom w:w="0" w:type="dxa"/>
              <w:right w:w="0" w:type="dxa"/>
            </w:tcMar>
            <w:vAlign w:val="top"/>
          </w:tcPr>
          <w:p>
            <w:pPr>
              <w:pStyle w:val="info-row"/>
              <w:pBdr>
                <w:top w:val="none" w:sz="0" w:space="0" w:color="auto"/>
                <w:left w:val="none" w:sz="0" w:space="0" w:color="auto"/>
                <w:bottom w:val="none" w:sz="0" w:space="0" w:color="auto"/>
                <w:right w:val="none" w:sz="0" w:space="0" w:color="auto"/>
              </w:pBdr>
              <w:spacing w:before="0" w:after="0"/>
              <w:rPr>
                <w:rStyle w:val="DefaultParagraphFont"/>
                <w:rFonts w:ascii="微软雅黑" w:eastAsia="微软雅黑" w:hAnsi="微软雅黑" w:cs="微软雅黑"/>
                <w:color w:val="555555"/>
                <w:sz w:val="17"/>
                <w:szCs w:val="17"/>
                <w:lang w:val="zh-CN" w:eastAsia="zh-CN"/>
              </w:rPr>
            </w:pPr>
            <w:r>
              <w:rPr>
                <w:rStyle w:val="info-label"/>
                <w:rFonts w:ascii="微软雅黑" w:eastAsia="微软雅黑" w:hAnsi="微软雅黑" w:cs="微软雅黑"/>
                <w:lang w:val="zh-CN" w:eastAsia="zh-CN"/>
              </w:rPr>
              <w:t>姓名：</w:t>
            </w:r>
            <w:r>
              <w:rPr>
                <w:rStyle w:val="DefaultParagraphFont"/>
                <w:rFonts w:ascii="微软雅黑" w:eastAsia="微软雅黑" w:hAnsi="微软雅黑" w:cs="微软雅黑"/>
                <w:lang w:val="zh-CN" w:eastAsia="zh-CN"/>
              </w:rPr>
              <w:t>测试3</w:t>
            </w:r>
          </w:p>
          <w:p>
            <w:pPr>
              <w:pStyle w:val="info-row"/>
              <w:pBdr>
                <w:top w:val="none" w:sz="0" w:space="0" w:color="auto"/>
                <w:left w:val="none" w:sz="0" w:space="0" w:color="auto"/>
                <w:bottom w:val="none" w:sz="0" w:space="0" w:color="auto"/>
                <w:right w:val="none" w:sz="0" w:space="0" w:color="auto"/>
              </w:pBdr>
              <w:spacing w:before="0" w:after="0"/>
              <w:rPr>
                <w:rStyle w:val="DefaultParagraphFont"/>
                <w:rFonts w:ascii="微软雅黑" w:eastAsia="微软雅黑" w:hAnsi="微软雅黑" w:cs="微软雅黑"/>
                <w:color w:val="555555"/>
                <w:sz w:val="17"/>
                <w:szCs w:val="17"/>
                <w:lang w:val="zh-CN" w:eastAsia="zh-CN"/>
              </w:rPr>
            </w:pPr>
            <w:r>
              <w:rPr>
                <w:rStyle w:val="info-label"/>
                <w:rFonts w:ascii="微软雅黑" w:eastAsia="微软雅黑" w:hAnsi="微软雅黑" w:cs="微软雅黑"/>
                <w:lang w:val="zh-CN" w:eastAsia="zh-CN"/>
              </w:rPr>
              <w:t>年级/班：</w:t>
            </w:r>
            <w:r>
              <w:rPr>
                <w:rStyle w:val="DefaultParagraphFont"/>
                <w:rFonts w:ascii="微软雅黑" w:eastAsia="微软雅黑" w:hAnsi="微软雅黑" w:cs="微软雅黑"/>
                <w:lang w:val="zh-CN" w:eastAsia="zh-CN"/>
              </w:rPr>
              <w:t>一年级  二班</w:t>
            </w:r>
          </w:p>
          <w:p>
            <w:pPr>
              <w:pStyle w:val="info-row"/>
              <w:pBdr>
                <w:top w:val="none" w:sz="0" w:space="0" w:color="auto"/>
                <w:left w:val="none" w:sz="0" w:space="0" w:color="auto"/>
                <w:bottom w:val="none" w:sz="0" w:space="0" w:color="auto"/>
                <w:right w:val="none" w:sz="0" w:space="0" w:color="auto"/>
              </w:pBdr>
              <w:spacing w:before="0" w:after="0"/>
              <w:rPr>
                <w:rStyle w:val="DefaultParagraphFont"/>
                <w:rFonts w:ascii="微软雅黑" w:eastAsia="微软雅黑" w:hAnsi="微软雅黑" w:cs="微软雅黑"/>
                <w:color w:val="555555"/>
                <w:sz w:val="17"/>
                <w:szCs w:val="17"/>
                <w:lang w:val="zh-CN" w:eastAsia="zh-CN"/>
              </w:rPr>
            </w:pPr>
            <w:r>
              <w:rPr>
                <w:rStyle w:val="info-label"/>
                <w:rFonts w:ascii="微软雅黑" w:eastAsia="微软雅黑" w:hAnsi="微软雅黑" w:cs="微软雅黑"/>
                <w:lang w:val="zh-CN" w:eastAsia="zh-CN"/>
              </w:rPr>
              <w:t>障碍类型：</w:t>
            </w:r>
          </w:p>
        </w:tc>
        <w:tc>
          <w:tcPr>
            <w:tcW w:w="2000" w:type="pct"/>
            <w:tcMar>
              <w:top w:w="0" w:type="dxa"/>
              <w:left w:w="0" w:type="dxa"/>
              <w:bottom w:w="0" w:type="dxa"/>
              <w:right w:w="0" w:type="dxa"/>
            </w:tcMar>
            <w:vAlign w:val="top"/>
          </w:tcPr>
          <w:p>
            <w:pPr>
              <w:pStyle w:val="info-row"/>
              <w:pBdr>
                <w:top w:val="none" w:sz="0" w:space="0" w:color="auto"/>
                <w:left w:val="none" w:sz="0" w:space="0" w:color="auto"/>
                <w:bottom w:val="none" w:sz="0" w:space="0" w:color="auto"/>
                <w:right w:val="none" w:sz="0" w:space="0" w:color="auto"/>
              </w:pBdr>
              <w:spacing w:before="0" w:after="0"/>
              <w:jc w:val="left"/>
              <w:rPr>
                <w:rStyle w:val="DefaultParagraphFont"/>
                <w:rFonts w:ascii="微软雅黑" w:eastAsia="微软雅黑" w:hAnsi="微软雅黑" w:cs="微软雅黑"/>
                <w:color w:val="555555"/>
                <w:sz w:val="17"/>
                <w:szCs w:val="17"/>
                <w:lang w:val="zh-CN" w:eastAsia="zh-CN"/>
              </w:rPr>
            </w:pPr>
            <w:r>
              <w:rPr>
                <w:rStyle w:val="info-label"/>
                <w:rFonts w:ascii="微软雅黑" w:eastAsia="微软雅黑" w:hAnsi="微软雅黑" w:cs="微软雅黑"/>
                <w:lang w:val="zh-CN" w:eastAsia="zh-CN"/>
              </w:rPr>
              <w:t>评估量：</w:t>
            </w:r>
            <w:r>
              <w:rPr>
                <w:rStyle w:val="DefaultParagraphFont"/>
                <w:rFonts w:ascii="微软雅黑" w:eastAsia="微软雅黑" w:hAnsi="微软雅黑" w:cs="微软雅黑"/>
                <w:lang w:val="zh-CN" w:eastAsia="zh-CN"/>
              </w:rPr>
              <w:t>语文学科一年级上学期评估</w:t>
            </w:r>
          </w:p>
          <w:p>
            <w:pPr>
              <w:pStyle w:val="info-row"/>
              <w:pBdr>
                <w:top w:val="none" w:sz="0" w:space="0" w:color="auto"/>
                <w:left w:val="none" w:sz="0" w:space="0" w:color="auto"/>
                <w:bottom w:val="none" w:sz="0" w:space="0" w:color="auto"/>
                <w:right w:val="none" w:sz="0" w:space="0" w:color="auto"/>
              </w:pBdr>
              <w:spacing w:before="0" w:after="0"/>
              <w:jc w:val="left"/>
              <w:rPr>
                <w:rStyle w:val="DefaultParagraphFont"/>
                <w:rFonts w:ascii="微软雅黑" w:eastAsia="微软雅黑" w:hAnsi="微软雅黑" w:cs="微软雅黑"/>
                <w:color w:val="555555"/>
                <w:sz w:val="17"/>
                <w:szCs w:val="17"/>
                <w:lang w:val="zh-CN" w:eastAsia="zh-CN"/>
              </w:rPr>
            </w:pPr>
            <w:r>
              <w:rPr>
                <w:rStyle w:val="info-label"/>
                <w:rFonts w:ascii="微软雅黑" w:eastAsia="微软雅黑" w:hAnsi="微软雅黑" w:cs="微软雅黑"/>
                <w:lang w:val="zh-CN" w:eastAsia="zh-CN"/>
              </w:rPr>
              <w:t>评估日期：</w:t>
            </w:r>
            <w:r>
              <w:rPr>
                <w:rStyle w:val="DefaultParagraphFont"/>
                <w:rFonts w:ascii="微软雅黑" w:eastAsia="微软雅黑" w:hAnsi="微软雅黑" w:cs="微软雅黑"/>
                <w:lang w:val="zh-CN" w:eastAsia="zh-CN"/>
              </w:rPr>
              <w:t>2026-07-28</w:t>
            </w:r>
          </w:p>
          <w:p>
            <w:pPr>
              <w:pStyle w:val="info-row"/>
              <w:pBdr>
                <w:top w:val="none" w:sz="0" w:space="0" w:color="auto"/>
                <w:left w:val="none" w:sz="0" w:space="0" w:color="auto"/>
                <w:bottom w:val="none" w:sz="0" w:space="0" w:color="auto"/>
                <w:right w:val="none" w:sz="0" w:space="0" w:color="auto"/>
              </w:pBdr>
              <w:spacing w:before="0" w:after="0"/>
              <w:jc w:val="left"/>
              <w:rPr>
                <w:rStyle w:val="DefaultParagraphFont"/>
                <w:rFonts w:ascii="微软雅黑" w:eastAsia="微软雅黑" w:hAnsi="微软雅黑" w:cs="微软雅黑"/>
                <w:color w:val="555555"/>
                <w:sz w:val="17"/>
                <w:szCs w:val="17"/>
                <w:lang w:val="zh-CN" w:eastAsia="zh-CN"/>
              </w:rPr>
            </w:pPr>
            <w:r>
              <w:rPr>
                <w:rStyle w:val="info-label"/>
                <w:rFonts w:ascii="微软雅黑" w:eastAsia="微软雅黑" w:hAnsi="微软雅黑" w:cs="微软雅黑"/>
                <w:lang w:val="zh-CN" w:eastAsia="zh-CN"/>
              </w:rPr>
              <w:t>评估师：</w:t>
            </w:r>
            <w:r>
              <w:rPr>
                <w:rStyle w:val="DefaultParagraphFont"/>
                <w:rFonts w:ascii="微软雅黑" w:eastAsia="微软雅黑" w:hAnsi="微软雅黑" w:cs="微软雅黑"/>
                <w:lang w:val="zh-CN" w:eastAsia="zh-CN"/>
              </w:rPr>
              <w:t>潘彩霞</w:t>
            </w:r>
          </w:p>
        </w:tc>
      </w:tr>
    </w:tbl>
    <w:p>
      <w:pPr>
        <w:rPr>
          <w:vanish/>
        </w:rPr>
      </w:pPr>
    </w:p>
    <w:tbl>
      <w:tblPr>
        <w:tblStyle w:val="any"/>
        <w:tblW w:w="5000" w:type="pct"/>
        <w:tblInd w:w="8" w:type="dxa"/>
        <w:tblBorders>
          <w:top w:val="single" w:sz="6" w:space="0" w:color="E0EAF4"/>
          <w:left w:val="single" w:sz="6" w:space="0" w:color="E0EAF4"/>
          <w:bottom w:val="single" w:sz="6" w:space="0" w:color="E0EAF4"/>
          <w:right w:val="single" w:sz="6" w:space="0" w:color="E0EAF4"/>
        </w:tblBorders>
        <w:shd w:val="clear" w:color="auto" w:fill="F7FAFD"/>
        <w:tblCellMar>
          <w:top w:w="0" w:type="dxa"/>
          <w:left w:w="0" w:type="dxa"/>
          <w:bottom w:w="0" w:type="dxa"/>
          <w:right w:w="0" w:type="dxa"/>
        </w:tblCellMar>
      </w:tblPr>
      <w:tblGrid>
        <w:gridCol w:w="2151"/>
        <w:gridCol w:w="2151"/>
        <w:gridCol w:w="2151"/>
        <w:gridCol w:w="2151"/>
      </w:tblGrid>
      <w:tr>
        <w:tblPrEx>
          <w:tblW w:w="5000" w:type="pct"/>
          <w:tblInd w:w="8" w:type="dxa"/>
          <w:tblBorders>
            <w:top w:val="single" w:sz="6" w:space="0" w:color="E0EAF4"/>
            <w:left w:val="single" w:sz="6" w:space="0" w:color="E0EAF4"/>
            <w:bottom w:val="single" w:sz="6" w:space="0" w:color="E0EAF4"/>
            <w:right w:val="single" w:sz="6" w:space="0" w:color="E0EAF4"/>
          </w:tblBorders>
          <w:shd w:val="clear" w:color="auto" w:fill="F7FAFD"/>
          <w:tblCellMar>
            <w:top w:w="0" w:type="dxa"/>
            <w:left w:w="0" w:type="dxa"/>
            <w:bottom w:w="0" w:type="dxa"/>
            <w:right w:w="0" w:type="dxa"/>
          </w:tblCellMar>
        </w:tblPrEx>
        <w:tc>
          <w:tcPr>
            <w:tcW w:w="1250" w:type="pct"/>
            <w:tcBorders>
              <w:right w:val="single" w:sz="6" w:space="0" w:color="E0EAF4"/>
            </w:tcBorders>
            <w:shd w:val="clear" w:color="auto" w:fill="F7FAFD"/>
            <w:tcMar>
              <w:top w:w="150" w:type="dxa"/>
              <w:left w:w="0" w:type="dxa"/>
              <w:bottom w:w="150" w:type="dxa"/>
              <w:right w:w="8" w:type="dxa"/>
            </w:tcMar>
            <w:vAlign w:val="center"/>
          </w:tcPr>
          <w:p>
            <w:pPr>
              <w:pStyle w:val="anyParagraph"/>
              <w:spacing w:before="0" w:after="60"/>
              <w:jc w:val="center"/>
              <w:rPr>
                <w:rStyle w:val="DefaultParagraphFont"/>
                <w:rFonts w:ascii="微软雅黑" w:eastAsia="微软雅黑" w:hAnsi="微软雅黑" w:cs="微软雅黑"/>
                <w:color w:val="888888"/>
                <w:sz w:val="17"/>
                <w:szCs w:val="17"/>
                <w:lang w:val="zh-CN" w:eastAsia="zh-CN"/>
              </w:rPr>
            </w:pPr>
            <w:r>
              <w:rPr>
                <w:rStyle w:val="DefaultParagraphFont"/>
                <w:rFonts w:ascii="微软雅黑" w:eastAsia="微软雅黑" w:hAnsi="微软雅黑" w:cs="微软雅黑"/>
                <w:color w:val="888888"/>
                <w:sz w:val="17"/>
                <w:szCs w:val="17"/>
                <w:lang w:val="zh-CN" w:eastAsia="zh-CN"/>
              </w:rPr>
              <w:t>本次评估</w:t>
            </w:r>
          </w:p>
          <w:p>
            <w:pPr>
              <w:pStyle w:val="anyParagraph"/>
              <w:spacing w:before="0" w:after="0"/>
              <w:jc w:val="center"/>
              <w:rPr>
                <w:rStyle w:val="DefaultParagraphFont"/>
                <w:rFonts w:ascii="微软雅黑" w:eastAsia="微软雅黑" w:hAnsi="微软雅黑" w:cs="微软雅黑"/>
                <w:b/>
                <w:bCs/>
                <w:color w:val="1A73E8"/>
                <w:sz w:val="33"/>
                <w:szCs w:val="33"/>
                <w:lang w:val="zh-CN" w:eastAsia="zh-CN"/>
              </w:rPr>
            </w:pPr>
            <w:r>
              <w:rPr>
                <w:rStyle w:val="DefaultParagraphFont"/>
                <w:rFonts w:ascii="微软雅黑" w:eastAsia="微软雅黑" w:hAnsi="微软雅黑" w:cs="微软雅黑"/>
                <w:b/>
                <w:bCs/>
                <w:color w:val="1A73E8"/>
                <w:sz w:val="33"/>
                <w:szCs w:val="33"/>
                <w:lang w:val="zh-CN" w:eastAsia="zh-CN"/>
              </w:rPr>
              <w:t>103</w:t>
            </w:r>
            <w:r>
              <w:rPr>
                <w:rStyle w:val="anyCharacter"/>
                <w:rFonts w:ascii="微软雅黑" w:eastAsia="微软雅黑" w:hAnsi="微软雅黑" w:cs="微软雅黑"/>
                <w:b w:val="0"/>
                <w:bCs w:val="0"/>
                <w:color w:val="AAAAAA"/>
                <w:sz w:val="18"/>
                <w:szCs w:val="18"/>
                <w:lang w:val="zh-CN" w:eastAsia="zh-CN"/>
              </w:rPr>
              <w:t>/244分</w:t>
            </w:r>
          </w:p>
        </w:tc>
        <w:tc>
          <w:tcPr>
            <w:tcW w:w="1250" w:type="pct"/>
            <w:tcBorders>
              <w:right w:val="single" w:sz="6" w:space="0" w:color="E0EAF4"/>
            </w:tcBorders>
            <w:shd w:val="clear" w:color="auto" w:fill="F7FAFD"/>
            <w:tcMar>
              <w:top w:w="150" w:type="dxa"/>
              <w:left w:w="0" w:type="dxa"/>
              <w:bottom w:w="150" w:type="dxa"/>
              <w:right w:w="8" w:type="dxa"/>
            </w:tcMar>
            <w:vAlign w:val="center"/>
          </w:tcPr>
          <w:p>
            <w:pPr>
              <w:pStyle w:val="anyParagraph"/>
              <w:spacing w:before="0" w:after="60"/>
              <w:jc w:val="center"/>
              <w:rPr>
                <w:rStyle w:val="DefaultParagraphFont"/>
                <w:rFonts w:ascii="微软雅黑" w:eastAsia="微软雅黑" w:hAnsi="微软雅黑" w:cs="微软雅黑"/>
                <w:color w:val="888888"/>
                <w:sz w:val="17"/>
                <w:szCs w:val="17"/>
                <w:lang w:val="zh-CN" w:eastAsia="zh-CN"/>
              </w:rPr>
            </w:pPr>
            <w:r>
              <w:rPr>
                <w:rStyle w:val="DefaultParagraphFont"/>
                <w:rFonts w:ascii="微软雅黑" w:eastAsia="微软雅黑" w:hAnsi="微软雅黑" w:cs="微软雅黑"/>
                <w:color w:val="888888"/>
                <w:sz w:val="17"/>
                <w:szCs w:val="17"/>
                <w:lang w:val="zh-CN" w:eastAsia="zh-CN"/>
              </w:rPr>
              <w:t>结果评价</w:t>
            </w:r>
          </w:p>
          <w:p>
            <w:pPr>
              <w:pStyle w:val="anyParagraph"/>
              <w:spacing w:before="0" w:after="0"/>
              <w:jc w:val="center"/>
              <w:rPr>
                <w:rStyle w:val="DefaultParagraphFont"/>
                <w:rFonts w:ascii="微软雅黑" w:eastAsia="微软雅黑" w:hAnsi="微软雅黑" w:cs="微软雅黑"/>
                <w:color w:val="333333"/>
                <w:sz w:val="18"/>
                <w:szCs w:val="18"/>
                <w:lang w:val="zh-CN" w:eastAsia="zh-CN"/>
              </w:rPr>
            </w:pPr>
            <w:r>
              <w:rPr>
                <w:rStyle w:val="anyCharacter"/>
                <w:rFonts w:ascii="微软雅黑" w:eastAsia="微软雅黑" w:hAnsi="微软雅黑" w:cs="微软雅黑"/>
                <w:color w:val="FFFFFF"/>
                <w:sz w:val="17"/>
                <w:szCs w:val="17"/>
                <w:shd w:val="clear" w:color="auto" w:fill="1A73E8"/>
                <w:lang w:val="zh-CN" w:eastAsia="zh-CN"/>
              </w:rPr>
              <w:t>重度语文学业迟缓</w:t>
            </w:r>
          </w:p>
        </w:tc>
        <w:tc>
          <w:tcPr>
            <w:tcW w:w="1250" w:type="pct"/>
            <w:tcBorders>
              <w:right w:val="single" w:sz="6" w:space="0" w:color="E0EAF4"/>
            </w:tcBorders>
            <w:shd w:val="clear" w:color="auto" w:fill="F7FAFD"/>
            <w:tcMar>
              <w:top w:w="150" w:type="dxa"/>
              <w:left w:w="0" w:type="dxa"/>
              <w:bottom w:w="150" w:type="dxa"/>
              <w:right w:w="8" w:type="dxa"/>
            </w:tcMar>
            <w:vAlign w:val="center"/>
          </w:tcPr>
          <w:p>
            <w:pPr>
              <w:pStyle w:val="anyParagraph"/>
              <w:spacing w:before="0" w:after="60"/>
              <w:jc w:val="center"/>
              <w:rPr>
                <w:rStyle w:val="DefaultParagraphFont"/>
                <w:rFonts w:ascii="微软雅黑" w:eastAsia="微软雅黑" w:hAnsi="微软雅黑" w:cs="微软雅黑"/>
                <w:color w:val="888888"/>
                <w:sz w:val="17"/>
                <w:szCs w:val="17"/>
                <w:lang w:val="zh-CN" w:eastAsia="zh-CN"/>
              </w:rPr>
            </w:pPr>
            <w:r>
              <w:rPr>
                <w:rStyle w:val="DefaultParagraphFont"/>
                <w:rFonts w:ascii="微软雅黑" w:eastAsia="微软雅黑" w:hAnsi="微软雅黑" w:cs="微软雅黑"/>
                <w:color w:val="888888"/>
                <w:sz w:val="17"/>
                <w:szCs w:val="17"/>
                <w:lang w:val="zh-CN" w:eastAsia="zh-CN"/>
              </w:rPr>
              <w:t>领域通过率</w:t>
            </w:r>
          </w:p>
          <w:p>
            <w:pPr>
              <w:pStyle w:val="anyParagraph"/>
              <w:spacing w:before="0" w:after="0"/>
              <w:jc w:val="center"/>
              <w:rPr>
                <w:rStyle w:val="DefaultParagraphFont"/>
                <w:rFonts w:ascii="微软雅黑" w:eastAsia="微软雅黑" w:hAnsi="微软雅黑" w:cs="微软雅黑"/>
                <w:b/>
                <w:bCs/>
                <w:color w:val="1A73E8"/>
                <w:sz w:val="33"/>
                <w:szCs w:val="33"/>
                <w:lang w:val="zh-CN" w:eastAsia="zh-CN"/>
              </w:rPr>
            </w:pPr>
            <w:r>
              <w:rPr>
                <w:rStyle w:val="DefaultParagraphFont"/>
                <w:rFonts w:ascii="微软雅黑" w:eastAsia="微软雅黑" w:hAnsi="微软雅黑" w:cs="微软雅黑"/>
                <w:b/>
                <w:bCs/>
                <w:color w:val="1A73E8"/>
                <w:sz w:val="33"/>
                <w:szCs w:val="33"/>
                <w:lang w:val="zh-CN" w:eastAsia="zh-CN"/>
              </w:rPr>
              <w:t>22%</w:t>
            </w:r>
          </w:p>
        </w:tc>
        <w:tc>
          <w:tcPr>
            <w:tcW w:w="1250" w:type="pct"/>
            <w:shd w:val="clear" w:color="auto" w:fill="F7FAFD"/>
            <w:tcMar>
              <w:top w:w="150" w:type="dxa"/>
              <w:left w:w="0" w:type="dxa"/>
              <w:bottom w:w="150" w:type="dxa"/>
              <w:right w:w="0" w:type="dxa"/>
            </w:tcMar>
            <w:vAlign w:val="center"/>
          </w:tcPr>
          <w:p>
            <w:pPr>
              <w:pStyle w:val="anyParagraph"/>
              <w:spacing w:before="0" w:after="60"/>
              <w:jc w:val="center"/>
              <w:rPr>
                <w:rStyle w:val="DefaultParagraphFont"/>
                <w:rFonts w:ascii="微软雅黑" w:eastAsia="微软雅黑" w:hAnsi="微软雅黑" w:cs="微软雅黑"/>
                <w:color w:val="888888"/>
                <w:sz w:val="17"/>
                <w:szCs w:val="17"/>
                <w:lang w:val="zh-CN" w:eastAsia="zh-CN"/>
              </w:rPr>
            </w:pPr>
            <w:r>
              <w:rPr>
                <w:rStyle w:val="DefaultParagraphFont"/>
                <w:rFonts w:ascii="微软雅黑" w:eastAsia="微软雅黑" w:hAnsi="微软雅黑" w:cs="微软雅黑"/>
                <w:color w:val="888888"/>
                <w:sz w:val="17"/>
                <w:szCs w:val="17"/>
                <w:lang w:val="zh-CN" w:eastAsia="zh-CN"/>
              </w:rPr>
              <w:t>整体通过率</w:t>
            </w:r>
          </w:p>
          <w:p>
            <w:pPr>
              <w:pStyle w:val="anyParagraph"/>
              <w:spacing w:before="0" w:after="0"/>
              <w:jc w:val="center"/>
              <w:rPr>
                <w:rStyle w:val="DefaultParagraphFont"/>
                <w:rFonts w:ascii="微软雅黑" w:eastAsia="微软雅黑" w:hAnsi="微软雅黑" w:cs="微软雅黑"/>
                <w:b/>
                <w:bCs/>
                <w:color w:val="1A73E8"/>
                <w:sz w:val="33"/>
                <w:szCs w:val="33"/>
                <w:lang w:val="zh-CN" w:eastAsia="zh-CN"/>
              </w:rPr>
            </w:pPr>
            <w:r>
              <w:rPr>
                <w:rStyle w:val="DefaultParagraphFont"/>
                <w:rFonts w:ascii="微软雅黑" w:eastAsia="微软雅黑" w:hAnsi="微软雅黑" w:cs="微软雅黑"/>
                <w:b/>
                <w:bCs/>
                <w:color w:val="1A73E8"/>
                <w:sz w:val="33"/>
                <w:szCs w:val="33"/>
                <w:lang w:val="zh-CN" w:eastAsia="zh-CN"/>
              </w:rPr>
              <w:t>26%</w:t>
            </w:r>
          </w:p>
        </w:tc>
      </w:tr>
    </w:tbl>
    <w:p>
      <w:pPr>
        <w:pStyle w:val="section-title"/>
        <w:pBdr>
          <w:top w:val="nil"/>
          <w:left w:val="single" w:sz="18" w:space="6" w:color="1A73E8"/>
          <w:bottom w:val="nil"/>
          <w:right w:val="nil"/>
        </w:pBdr>
        <w:spacing w:before="210" w:after="120"/>
        <w:ind w:left="165"/>
        <w:rPr>
          <w:rStyle w:val="DefaultParagraphFont"/>
          <w:rFonts w:ascii="微软雅黑" w:eastAsia="微软雅黑" w:hAnsi="微软雅黑" w:cs="微软雅黑"/>
          <w:b/>
          <w:bCs/>
          <w:color w:val="222222"/>
          <w:sz w:val="20"/>
          <w:szCs w:val="20"/>
          <w:lang w:val="zh-CN" w:eastAsia="zh-CN"/>
        </w:rPr>
      </w:pPr>
      <w:r>
        <w:rPr>
          <w:rStyle w:val="DefaultParagraphFont"/>
          <w:rFonts w:ascii="微软雅黑" w:eastAsia="微软雅黑" w:hAnsi="微软雅黑" w:cs="微软雅黑"/>
          <w:lang w:val="zh-CN" w:eastAsia="zh-CN"/>
        </w:rPr>
        <w:t>二级领域通过情况</w:t>
      </w:r>
    </w:p>
    <w:p>
      <w:pPr>
        <w:pStyle w:val="chart-area"/>
        <w:pBdr>
          <w:top w:val="single" w:sz="6" w:space="9" w:color="E8EEF5"/>
          <w:left w:val="single" w:sz="6" w:space="6" w:color="E8EEF5"/>
          <w:bottom w:val="single" w:sz="6" w:space="6" w:color="E8EEF5"/>
          <w:right w:val="single" w:sz="6" w:space="6" w:color="E8EEF5"/>
        </w:pBdr>
        <w:spacing w:before="0" w:after="150"/>
        <w:ind w:left="135" w:right="135"/>
        <w:rPr>
          <w:rStyle w:val="DefaultParagraphFont"/>
          <w:rFonts w:ascii="微软雅黑" w:eastAsia="微软雅黑" w:hAnsi="微软雅黑" w:cs="微软雅黑"/>
          <w:color w:val="333333"/>
          <w:sz w:val="18"/>
          <w:szCs w:val="18"/>
          <w:lang w:val="zh-CN" w:eastAsia="zh-CN"/>
        </w:rPr>
      </w:pPr>
      <w:r>
        <w:rPr>
          <w:rStyle w:val="DefaultParagraphFont"/>
          <w:rFonts w:ascii="微软雅黑" w:eastAsia="微软雅黑" w:hAnsi="微软雅黑" w:cs="微软雅黑"/>
          <w:strike w:val="0"/>
          <w:color w:val="333333"/>
          <w:sz w:val="18"/>
          <w:szCs w:val="18"/>
          <w:u w:val="none"/>
          <w:bdr w:val="none" w:sz="0" w:space="0" w:color="auto"/>
          <w:shd w:val="clear" w:color="auto" w:fill="auto"/>
          <w:lang w:val="zh-CN" w:eastAsia="zh-CN"/>
        </w:rPr>
        <w:drawing>
          <wp:inline>
            <wp:extent cx="5486400" cy="1828800"/>
            <wp:docPr id="100000" name=""/>
            <wp:cNvGraphicFramePr/>
            <a:graphic xmlns:a="http://schemas.openxmlformats.org/drawingml/2006/main">
              <a:graphicData uri="http://schemas.openxmlformats.org/drawingml/2006/picture">
                <pic:pic xmlns:pic="http://schemas.openxmlformats.org/drawingml/2006/picture">
                  <pic:nvPicPr>
                    <pic:cNvPr id="100000" name=""/>
                    <pic:cNvPicPr/>
                  </pic:nvPicPr>
                  <pic:blipFill>
                    <a:blip xmlns:r="http://schemas.openxmlformats.org/officeDocument/2006/relationships" r:embed="rId4"/>
                    <a:stretch>
                      <a:fillRect/>
                    </a:stretch>
                  </pic:blipFill>
                  <pic:spPr>
                    <a:xfrm>
                      <a:off x="0" y="0"/>
                      <a:ext cx="5486400" cy="1828800"/>
                    </a:xfrm>
                    <a:prstGeom prst="rect">
                      <a:avLst/>
                    </a:prstGeom>
                  </pic:spPr>
                </pic:pic>
              </a:graphicData>
            </a:graphic>
          </wp:inline>
        </w:drawing>
      </w:r>
    </w:p>
    <w:p>
      <w:pPr>
        <w:pStyle w:val="section-title"/>
        <w:pBdr>
          <w:top w:val="nil"/>
          <w:left w:val="single" w:sz="18" w:space="6" w:color="1A73E8"/>
          <w:bottom w:val="nil"/>
          <w:right w:val="nil"/>
        </w:pBdr>
        <w:spacing w:before="210" w:after="120"/>
        <w:ind w:left="165"/>
        <w:rPr>
          <w:rStyle w:val="DefaultParagraphFont"/>
          <w:rFonts w:ascii="微软雅黑" w:eastAsia="微软雅黑" w:hAnsi="微软雅黑" w:cs="微软雅黑"/>
          <w:b/>
          <w:bCs/>
          <w:color w:val="222222"/>
          <w:sz w:val="20"/>
          <w:szCs w:val="20"/>
          <w:lang w:val="zh-CN" w:eastAsia="zh-CN"/>
        </w:rPr>
      </w:pPr>
      <w:r>
        <w:rPr>
          <w:rStyle w:val="DefaultParagraphFont"/>
          <w:rFonts w:ascii="微软雅黑" w:eastAsia="微软雅黑" w:hAnsi="微软雅黑" w:cs="微软雅黑"/>
          <w:lang w:val="zh-CN" w:eastAsia="zh-CN"/>
        </w:rPr>
        <w:t>二级领域得分情况</w:t>
      </w:r>
    </w:p>
    <w:p>
      <w:pPr>
        <w:pStyle w:val="bar-chart-wrap"/>
        <w:pBdr>
          <w:top w:val="single" w:sz="6" w:space="9" w:color="E8EEF5"/>
          <w:left w:val="single" w:sz="6" w:space="6" w:color="E8EEF5"/>
          <w:bottom w:val="single" w:sz="6" w:space="6" w:color="E8EEF5"/>
          <w:right w:val="single" w:sz="6" w:space="6" w:color="E8EEF5"/>
        </w:pBdr>
        <w:spacing w:before="0" w:after="180"/>
        <w:ind w:left="135" w:right="135"/>
        <w:rPr>
          <w:rStyle w:val="DefaultParagraphFont"/>
          <w:rFonts w:ascii="微软雅黑" w:eastAsia="微软雅黑" w:hAnsi="微软雅黑" w:cs="微软雅黑"/>
          <w:color w:val="333333"/>
          <w:sz w:val="18"/>
          <w:szCs w:val="18"/>
          <w:lang w:val="zh-CN" w:eastAsia="zh-CN"/>
        </w:rPr>
      </w:pPr>
      <w:r>
        <w:rPr>
          <w:rStyle w:val="DefaultParagraphFont"/>
          <w:rFonts w:ascii="微软雅黑" w:eastAsia="微软雅黑" w:hAnsi="微软雅黑" w:cs="微软雅黑"/>
          <w:strike w:val="0"/>
          <w:color w:val="333333"/>
          <w:sz w:val="18"/>
          <w:szCs w:val="18"/>
          <w:u w:val="none"/>
          <w:bdr w:val="none" w:sz="0" w:space="0" w:color="auto"/>
          <w:shd w:val="clear" w:color="auto" w:fill="auto"/>
          <w:lang w:val="zh-CN" w:eastAsia="zh-CN"/>
        </w:rPr>
        <w:drawing>
          <wp:inline>
            <wp:extent cx="5486400" cy="1828800"/>
            <wp:docPr id="100001" name=""/>
            <wp:cNvGraphicFramePr/>
            <a:graphic xmlns:a="http://schemas.openxmlformats.org/drawingml/2006/main">
              <a:graphicData uri="http://schemas.openxmlformats.org/drawingml/2006/picture">
                <pic:pic xmlns:pic="http://schemas.openxmlformats.org/drawingml/2006/picture">
                  <pic:nvPicPr>
                    <pic:cNvPr id="100001" name=""/>
                    <pic:cNvPicPr/>
                  </pic:nvPicPr>
                  <pic:blipFill>
                    <a:blip xmlns:r="http://schemas.openxmlformats.org/officeDocument/2006/relationships" r:embed="rId5"/>
                    <a:stretch>
                      <a:fillRect/>
                    </a:stretch>
                  </pic:blipFill>
                  <pic:spPr>
                    <a:xfrm>
                      <a:off x="0" y="0"/>
                      <a:ext cx="5486400" cy="1828800"/>
                    </a:xfrm>
                    <a:prstGeom prst="rect">
                      <a:avLst/>
                    </a:prstGeom>
                  </pic:spPr>
                </pic:pic>
              </a:graphicData>
            </a:graphic>
          </wp:inline>
        </w:drawing>
      </w:r>
    </w:p>
    <w:p>
      <w:pPr>
        <w:pStyle w:val="analysis-header"/>
        <w:pBdr>
          <w:top w:val="single" w:sz="6" w:space="0" w:color="E8EEF5"/>
          <w:left w:val="single" w:sz="6" w:space="0" w:color="E8EEF5"/>
          <w:bottom w:val="single" w:sz="6" w:space="0" w:color="E8EEF5"/>
          <w:right w:val="single" w:sz="6" w:space="0" w:color="E8EEF5"/>
        </w:pBdr>
        <w:shd w:val="clear" w:color="auto" w:fill="FFFFFF"/>
        <w:spacing w:before="0" w:after="90"/>
        <w:ind w:left="225" w:right="225"/>
        <w:rPr>
          <w:rStyle w:val="DefaultParagraphFont"/>
          <w:rFonts w:ascii="微软雅黑" w:eastAsia="微软雅黑" w:hAnsi="微软雅黑" w:cs="微软雅黑"/>
          <w:b/>
          <w:bCs/>
          <w:color w:val="1A73E8"/>
          <w:sz w:val="18"/>
          <w:szCs w:val="18"/>
          <w:lang w:val="zh-CN" w:eastAsia="zh-CN"/>
        </w:rPr>
      </w:pPr>
      <w:r>
        <w:rPr>
          <w:rStyle w:val="analysis-icon"/>
          <w:rFonts w:ascii="微软雅黑" w:eastAsia="微软雅黑" w:hAnsi="微软雅黑" w:cs="微软雅黑"/>
          <w:lang w:val="zh-CN" w:eastAsia="zh-CN"/>
        </w:rPr>
        <w:t>≡</w:t>
      </w:r>
      <w:r>
        <w:rPr>
          <w:rStyle w:val="DefaultParagraphFont"/>
          <w:rFonts w:ascii="微软雅黑" w:eastAsia="微软雅黑" w:hAnsi="微软雅黑" w:cs="微软雅黑"/>
          <w:lang w:val="zh-CN" w:eastAsia="zh-CN"/>
        </w:rPr>
        <w:t>综合结果分析</w:t>
      </w:r>
    </w:p>
    <w:p>
      <w:pPr>
        <w:pStyle w:val="analysis-text"/>
        <w:pBdr>
          <w:top w:val="single" w:sz="6" w:space="0" w:color="E8EEF5"/>
          <w:left w:val="single" w:sz="6" w:space="0" w:color="E8EEF5"/>
          <w:bottom w:val="single" w:sz="6" w:space="0" w:color="E8EEF5"/>
          <w:right w:val="single" w:sz="6" w:space="0" w:color="E8EEF5"/>
        </w:pBdr>
        <w:shd w:val="clear" w:color="auto" w:fill="FFFFFF"/>
        <w:spacing w:before="0" w:after="150"/>
        <w:ind w:left="225" w:right="225"/>
        <w:rPr>
          <w:rStyle w:val="DefaultParagraphFont"/>
          <w:rFonts w:ascii="微软雅黑" w:eastAsia="微软雅黑" w:hAnsi="微软雅黑" w:cs="微软雅黑"/>
          <w:color w:val="444444"/>
          <w:sz w:val="17"/>
          <w:szCs w:val="17"/>
          <w:lang w:val="zh-CN" w:eastAsia="zh-CN"/>
        </w:rPr>
      </w:pPr>
      <w:r>
        <w:rPr>
          <w:rStyle w:val="DefaultParagraphFont"/>
          <w:rFonts w:ascii="微软雅黑" w:eastAsia="微软雅黑" w:hAnsi="微软雅黑" w:cs="微软雅黑"/>
          <w:lang w:val="zh-CN" w:eastAsia="zh-CN"/>
        </w:rPr>
        <w:t>结果：重度语文学业迟缓（极高风险，高度依赖全方位辅助） 该区间数据表明，儿童在汉字解码、视觉空间感知、精细动作控制及听觉工作记忆等底层认知加工通道上存在全面或重度缺损。儿童无法在常规课堂环境中获取有效信息，对符号系统的映射建立极度困难，基本未形成音形义的联结。同时，伴随较高的执行功能障碍或感统失调，无法维持基本的学习专注度与社交互动。该儿童目前无法适应标准的一年级语文随班就读学业进度，属于特殊教育干预的重点对象。</w:t>
      </w:r>
    </w:p>
    <w:p>
      <w:pPr>
        <w:pStyle w:val="advice-header"/>
        <w:pBdr>
          <w:top w:val="single" w:sz="6" w:space="0" w:color="E8EEF5"/>
          <w:left w:val="single" w:sz="6" w:space="0" w:color="E8EEF5"/>
          <w:bottom w:val="single" w:sz="6" w:space="0" w:color="E8EEF5"/>
          <w:right w:val="single" w:sz="6" w:space="0" w:color="E8EEF5"/>
        </w:pBdr>
        <w:shd w:val="clear" w:color="auto" w:fill="FFFFFF"/>
        <w:spacing w:before="0" w:after="90"/>
        <w:ind w:left="225" w:right="225"/>
        <w:rPr>
          <w:rStyle w:val="DefaultParagraphFont"/>
          <w:rFonts w:ascii="微软雅黑" w:eastAsia="微软雅黑" w:hAnsi="微软雅黑" w:cs="微软雅黑"/>
          <w:b/>
          <w:bCs/>
          <w:color w:val="E05A5A"/>
          <w:sz w:val="18"/>
          <w:szCs w:val="18"/>
          <w:lang w:val="zh-CN" w:eastAsia="zh-CN"/>
        </w:rPr>
      </w:pPr>
      <w:r>
        <w:rPr>
          <w:rStyle w:val="advice-icon"/>
          <w:rFonts w:ascii="Cambria Math" w:eastAsia="Cambria Math" w:hAnsi="Cambria Math" w:cs="Cambria Math"/>
          <w:lang w:val="zh-CN" w:eastAsia="zh-CN"/>
        </w:rPr>
        <w:t>♡</w:t>
      </w:r>
      <w:r>
        <w:rPr>
          <w:rStyle w:val="DefaultParagraphFont"/>
          <w:rFonts w:ascii="微软雅黑" w:eastAsia="微软雅黑" w:hAnsi="微软雅黑" w:cs="微软雅黑"/>
          <w:lang w:val="zh-CN" w:eastAsia="zh-CN"/>
        </w:rPr>
        <w:t>专业建议与训练建议</w:t>
      </w:r>
    </w:p>
    <w:p>
      <w:pPr>
        <w:pStyle w:val="analysis-text"/>
        <w:pBdr>
          <w:top w:val="single" w:sz="6" w:space="0" w:color="E8EEF5"/>
          <w:left w:val="single" w:sz="6" w:space="0" w:color="E8EEF5"/>
          <w:bottom w:val="single" w:sz="6" w:space="0" w:color="E8EEF5"/>
          <w:right w:val="single" w:sz="6" w:space="0" w:color="E8EEF5"/>
        </w:pBdr>
        <w:shd w:val="clear" w:color="auto" w:fill="FFFFFF"/>
        <w:spacing w:before="0" w:after="150"/>
        <w:ind w:left="225" w:right="225"/>
        <w:rPr>
          <w:rStyle w:val="DefaultParagraphFont"/>
          <w:rFonts w:ascii="微软雅黑" w:eastAsia="微软雅黑" w:hAnsi="微软雅黑" w:cs="微软雅黑"/>
          <w:color w:val="444444"/>
          <w:sz w:val="17"/>
          <w:szCs w:val="17"/>
          <w:lang w:val="zh-CN" w:eastAsia="zh-CN"/>
        </w:rPr>
      </w:pPr>
      <w:r>
        <w:rPr>
          <w:rStyle w:val="DefaultParagraphFont"/>
          <w:rFonts w:ascii="微软雅黑" w:eastAsia="微软雅黑" w:hAnsi="微软雅黑" w:cs="微软雅黑"/>
          <w:lang w:val="zh-CN" w:eastAsia="zh-CN"/>
        </w:rPr>
        <w:t>教育发展建议： 制定深度个别化教育计划（IEP），学业目标需从“学科知识掌握”降维至“功能性语言与生活识字”。 大幅度增加资源教室的抽离式教学比例，采用一对一或一对二的特教干预。 在普通班级融合时，降低一切学业要求，允许使用替代性沟通工具（AAC），重点考核其安坐能力与基础指令服从。 医疗发展建议： 建议转介至儿童发育行为科或儿童神经内科，进行全面的智力测验（如WISC）、自闭症谱系筛查及脑神经发育评估。 强烈建议引入专业的作业治疗（OT）以改善精细动作与手眼协调，以及言语-语言治疗（SLP）以矫正构音障碍或表达性语言迟缓。</w:t>
      </w:r>
    </w:p>
    <w:p>
      <w:pPr>
        <w:pStyle w:val="skill-section-header"/>
        <w:pBdr>
          <w:top w:val="nil"/>
          <w:left w:val="single" w:sz="18" w:space="7" w:color="1A73E8"/>
          <w:bottom w:val="nil"/>
          <w:right w:val="nil"/>
        </w:pBdr>
        <w:spacing w:before="0" w:after="30"/>
        <w:ind w:left="195" w:right="150"/>
        <w:rPr>
          <w:rStyle w:val="DefaultParagraphFont"/>
          <w:rFonts w:ascii="微软雅黑" w:eastAsia="微软雅黑" w:hAnsi="微软雅黑" w:cs="微软雅黑"/>
          <w:b/>
          <w:bCs/>
          <w:color w:val="1A73E8"/>
          <w:sz w:val="17"/>
          <w:szCs w:val="17"/>
          <w:lang w:val="zh-CN" w:eastAsia="zh-CN"/>
        </w:rPr>
      </w:pPr>
      <w:r>
        <w:rPr>
          <w:rStyle w:val="DefaultParagraphFont"/>
          <w:rFonts w:ascii="微软雅黑" w:eastAsia="微软雅黑" w:hAnsi="微软雅黑" w:cs="微软雅黑"/>
          <w:shd w:val="clear" w:color="auto" w:fill="auto"/>
          <w:lang w:val="zh-CN" w:eastAsia="zh-CN"/>
        </w:rPr>
        <w:t>识字与写字</w:t>
      </w:r>
      <w:r>
        <w:rPr>
          <w:rStyle w:val="skill-badge-green"/>
          <w:rFonts w:ascii="微软雅黑" w:eastAsia="微软雅黑" w:hAnsi="微软雅黑" w:cs="微软雅黑"/>
          <w:lang w:val="zh-CN" w:eastAsia="zh-CN"/>
        </w:rPr>
        <w:t>(22项未通过)</w:t>
      </w:r>
    </w:p>
    <w:tbl>
      <w:tblPr>
        <w:tblStyle w:val="skill-table"/>
        <w:tblW w:w="5000" w:type="pct"/>
        <w:tblInd w:w="136"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5953"/>
        <w:gridCol w:w="2551"/>
      </w:tblGrid>
      <w:tr>
        <w:tblPrEx>
          <w:tblW w:w="5000" w:type="pct"/>
          <w:tblInd w:w="136"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c>
          <w:tcPr>
            <w:tcW w:w="3500" w:type="pct"/>
            <w:tcBorders>
              <w:top w:val="single" w:sz="6" w:space="0" w:color="E8EEF5"/>
              <w:left w:val="single" w:sz="6" w:space="0" w:color="E8EEF5"/>
              <w:bottom w:val="single" w:sz="6" w:space="0" w:color="E8EEF5"/>
              <w:right w:val="single" w:sz="6" w:space="0" w:color="E8EEF5"/>
            </w:tcBorders>
            <w:shd w:val="clear" w:color="auto" w:fill="F7FAFD"/>
            <w:tcMar>
              <w:top w:w="68" w:type="dxa"/>
              <w:left w:w="128" w:type="dxa"/>
              <w:bottom w:w="68" w:type="dxa"/>
              <w:right w:w="128" w:type="dxa"/>
            </w:tcMar>
            <w:vAlign w:val="center"/>
          </w:tcPr>
          <w:p>
            <w:pPr>
              <w:shd w:val="clear" w:color="auto" w:fill="F7FAFD"/>
              <w:jc w:val="left"/>
              <w:rPr>
                <w:rStyle w:val="DefaultParagraphFont"/>
                <w:rFonts w:ascii="微软雅黑" w:eastAsia="微软雅黑" w:hAnsi="微软雅黑" w:cs="微软雅黑"/>
                <w:b w:val="0"/>
                <w:bCs w:val="0"/>
                <w:color w:val="888888"/>
                <w:sz w:val="17"/>
                <w:szCs w:val="17"/>
                <w:lang w:val="zh-CN" w:eastAsia="zh-CN"/>
              </w:rPr>
            </w:pPr>
            <w:r>
              <w:rPr>
                <w:rStyle w:val="DefaultParagraphFont"/>
                <w:rFonts w:ascii="微软雅黑" w:eastAsia="微软雅黑" w:hAnsi="微软雅黑" w:cs="微软雅黑"/>
                <w:b w:val="0"/>
                <w:bCs w:val="0"/>
                <w:color w:val="888888"/>
                <w:sz w:val="17"/>
                <w:szCs w:val="17"/>
                <w:lang w:val="zh-CN" w:eastAsia="zh-CN"/>
              </w:rPr>
              <w:t>评估条目</w:t>
            </w:r>
          </w:p>
        </w:tc>
        <w:tc>
          <w:tcPr>
            <w:tcW w:w="1500" w:type="pct"/>
            <w:tcBorders>
              <w:top w:val="single" w:sz="6" w:space="0" w:color="E8EEF5"/>
              <w:left w:val="single" w:sz="6" w:space="0" w:color="E8EEF5"/>
              <w:bottom w:val="single" w:sz="6" w:space="0" w:color="E8EEF5"/>
              <w:right w:val="single" w:sz="6" w:space="0" w:color="E8EEF5"/>
            </w:tcBorders>
            <w:shd w:val="clear" w:color="auto" w:fill="F7FAFD"/>
            <w:tcMar>
              <w:top w:w="68" w:type="dxa"/>
              <w:left w:w="128" w:type="dxa"/>
              <w:bottom w:w="68" w:type="dxa"/>
              <w:right w:w="128" w:type="dxa"/>
            </w:tcMar>
            <w:vAlign w:val="center"/>
          </w:tcPr>
          <w:p>
            <w:pPr>
              <w:shd w:val="clear" w:color="auto" w:fill="F7FAFD"/>
              <w:jc w:val="center"/>
              <w:rPr>
                <w:rStyle w:val="DefaultParagraphFont"/>
                <w:rFonts w:ascii="微软雅黑" w:eastAsia="微软雅黑" w:hAnsi="微软雅黑" w:cs="微软雅黑"/>
                <w:b w:val="0"/>
                <w:bCs w:val="0"/>
                <w:color w:val="888888"/>
                <w:sz w:val="17"/>
                <w:szCs w:val="17"/>
                <w:lang w:val="zh-CN" w:eastAsia="zh-CN"/>
              </w:rPr>
            </w:pPr>
            <w:r>
              <w:rPr>
                <w:rStyle w:val="DefaultParagraphFont"/>
                <w:rFonts w:ascii="微软雅黑" w:eastAsia="微软雅黑" w:hAnsi="微软雅黑" w:cs="微软雅黑"/>
                <w:b w:val="0"/>
                <w:bCs w:val="0"/>
                <w:color w:val="888888"/>
                <w:sz w:val="17"/>
                <w:szCs w:val="17"/>
                <w:lang w:val="zh-CN" w:eastAsia="zh-CN"/>
              </w:rPr>
              <w:t>得分</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1. 能在课前、课中、课后主动学习汉字</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2. 能在日常生活中（如看路牌、超市标签）主动学习汉字</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识字时能保持目光聚焦，做到视觉平滑追视，不跳字漏字</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能准确认读24个韵母</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能独立、准确认读4个声调</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能借助汉语拼音认读本册300个生字</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能脱离拼音，直接认读本册最核心的高频生字</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能正确指认汉字的基本笔画（如横、竖、撇、捺、折等）</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能牢牢握住铅笔，不掉落、不歪斜</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书写时具备良好的手眼协调能力，运笔平稳，不手抖</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能将声母正确、工整地写在四线格中</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能将韵母正确、工整地写在四线格中</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能将音节正确、工整地写在四线格中，声调标注不写错</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2/4.0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能按正确的笔画顺序，书写汉字的基本笔画</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2/4.0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能工整、清晰地书写汉字的基本笔画</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能正确书写本册常用的偏旁部首，不漏写、不添写</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能工整书写本册常用的偏旁部首</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能用硬笔正确书写汉字，间架结构合理，不写错别字</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能用硬笔端正、匀称地书写汉字，大小一致</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能保持卷面整洁，书写时没有明显涂抹痕迹甚至擦破纸的情况</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能保持正确的写字姿势（眼离一尺、胸离一拳、指离一寸）</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能在写字时保持专注，养成良好的书写习惯</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bl>
    <w:p>
      <w:pPr>
        <w:pStyle w:val="skill-section-header"/>
        <w:pBdr>
          <w:top w:val="nil"/>
          <w:left w:val="single" w:sz="18" w:space="7" w:color="1A73E8"/>
          <w:bottom w:val="nil"/>
          <w:right w:val="nil"/>
        </w:pBdr>
        <w:spacing w:before="0" w:after="30"/>
        <w:ind w:left="195" w:right="150"/>
        <w:rPr>
          <w:rStyle w:val="DefaultParagraphFont"/>
          <w:rFonts w:ascii="微软雅黑" w:eastAsia="微软雅黑" w:hAnsi="微软雅黑" w:cs="微软雅黑"/>
          <w:b/>
          <w:bCs/>
          <w:color w:val="1A73E8"/>
          <w:sz w:val="17"/>
          <w:szCs w:val="17"/>
          <w:lang w:val="zh-CN" w:eastAsia="zh-CN"/>
        </w:rPr>
      </w:pPr>
      <w:r>
        <w:rPr>
          <w:rStyle w:val="DefaultParagraphFont"/>
          <w:rFonts w:ascii="微软雅黑" w:eastAsia="微软雅黑" w:hAnsi="微软雅黑" w:cs="微软雅黑"/>
          <w:shd w:val="clear" w:color="auto" w:fill="auto"/>
          <w:lang w:val="zh-CN" w:eastAsia="zh-CN"/>
        </w:rPr>
        <w:t>阅读与鉴赏</w:t>
      </w:r>
      <w:r>
        <w:rPr>
          <w:rStyle w:val="skill-badge-green"/>
          <w:rFonts w:ascii="微软雅黑" w:eastAsia="微软雅黑" w:hAnsi="微软雅黑" w:cs="微软雅黑"/>
          <w:lang w:val="zh-CN" w:eastAsia="zh-CN"/>
        </w:rPr>
        <w:t>(5项未通过)</w:t>
      </w:r>
    </w:p>
    <w:tbl>
      <w:tblPr>
        <w:tblStyle w:val="skill-table"/>
        <w:tblW w:w="5000" w:type="pct"/>
        <w:tblInd w:w="136"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5953"/>
        <w:gridCol w:w="2551"/>
      </w:tblGrid>
      <w:tr>
        <w:tblPrEx>
          <w:tblW w:w="5000" w:type="pct"/>
          <w:tblInd w:w="136"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c>
          <w:tcPr>
            <w:tcW w:w="3500" w:type="pct"/>
            <w:tcBorders>
              <w:top w:val="single" w:sz="6" w:space="0" w:color="E8EEF5"/>
              <w:left w:val="single" w:sz="6" w:space="0" w:color="E8EEF5"/>
              <w:bottom w:val="single" w:sz="6" w:space="0" w:color="E8EEF5"/>
              <w:right w:val="single" w:sz="6" w:space="0" w:color="E8EEF5"/>
            </w:tcBorders>
            <w:shd w:val="clear" w:color="auto" w:fill="F7FAFD"/>
            <w:tcMar>
              <w:top w:w="68" w:type="dxa"/>
              <w:left w:w="128" w:type="dxa"/>
              <w:bottom w:w="68" w:type="dxa"/>
              <w:right w:w="128" w:type="dxa"/>
            </w:tcMar>
            <w:vAlign w:val="center"/>
          </w:tcPr>
          <w:p>
            <w:pPr>
              <w:shd w:val="clear" w:color="auto" w:fill="F7FAFD"/>
              <w:jc w:val="left"/>
              <w:rPr>
                <w:rStyle w:val="DefaultParagraphFont"/>
                <w:rFonts w:ascii="微软雅黑" w:eastAsia="微软雅黑" w:hAnsi="微软雅黑" w:cs="微软雅黑"/>
                <w:b w:val="0"/>
                <w:bCs w:val="0"/>
                <w:color w:val="888888"/>
                <w:sz w:val="17"/>
                <w:szCs w:val="17"/>
                <w:lang w:val="zh-CN" w:eastAsia="zh-CN"/>
              </w:rPr>
            </w:pPr>
            <w:r>
              <w:rPr>
                <w:rStyle w:val="DefaultParagraphFont"/>
                <w:rFonts w:ascii="微软雅黑" w:eastAsia="微软雅黑" w:hAnsi="微软雅黑" w:cs="微软雅黑"/>
                <w:b w:val="0"/>
                <w:bCs w:val="0"/>
                <w:color w:val="888888"/>
                <w:sz w:val="17"/>
                <w:szCs w:val="17"/>
                <w:lang w:val="zh-CN" w:eastAsia="zh-CN"/>
              </w:rPr>
              <w:t>评估条目</w:t>
            </w:r>
          </w:p>
        </w:tc>
        <w:tc>
          <w:tcPr>
            <w:tcW w:w="1500" w:type="pct"/>
            <w:tcBorders>
              <w:top w:val="single" w:sz="6" w:space="0" w:color="E8EEF5"/>
              <w:left w:val="single" w:sz="6" w:space="0" w:color="E8EEF5"/>
              <w:bottom w:val="single" w:sz="6" w:space="0" w:color="E8EEF5"/>
              <w:right w:val="single" w:sz="6" w:space="0" w:color="E8EEF5"/>
            </w:tcBorders>
            <w:shd w:val="clear" w:color="auto" w:fill="F7FAFD"/>
            <w:tcMar>
              <w:top w:w="68" w:type="dxa"/>
              <w:left w:w="128" w:type="dxa"/>
              <w:bottom w:w="68" w:type="dxa"/>
              <w:right w:w="128" w:type="dxa"/>
            </w:tcMar>
            <w:vAlign w:val="center"/>
          </w:tcPr>
          <w:p>
            <w:pPr>
              <w:shd w:val="clear" w:color="auto" w:fill="F7FAFD"/>
              <w:jc w:val="center"/>
              <w:rPr>
                <w:rStyle w:val="DefaultParagraphFont"/>
                <w:rFonts w:ascii="微软雅黑" w:eastAsia="微软雅黑" w:hAnsi="微软雅黑" w:cs="微软雅黑"/>
                <w:b w:val="0"/>
                <w:bCs w:val="0"/>
                <w:color w:val="888888"/>
                <w:sz w:val="17"/>
                <w:szCs w:val="17"/>
                <w:lang w:val="zh-CN" w:eastAsia="zh-CN"/>
              </w:rPr>
            </w:pPr>
            <w:r>
              <w:rPr>
                <w:rStyle w:val="DefaultParagraphFont"/>
                <w:rFonts w:ascii="微软雅黑" w:eastAsia="微软雅黑" w:hAnsi="微软雅黑" w:cs="微软雅黑"/>
                <w:b w:val="0"/>
                <w:bCs w:val="0"/>
                <w:color w:val="888888"/>
                <w:sz w:val="17"/>
                <w:szCs w:val="17"/>
                <w:lang w:val="zh-CN" w:eastAsia="zh-CN"/>
              </w:rPr>
              <w:t>得分</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能用普通话正确朗读本册课文，发准字音</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能熟练背诵本册要求掌握的儿歌</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2/4.0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能看懂读物中的图画内容，说出图画想表达的意思</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能准确认出课文中的常见标点符号（如逗号、句号、问号等）</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能准确背出并积累本册课本里的格言警句</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bl>
    <w:p>
      <w:pPr>
        <w:pStyle w:val="skill-section-header"/>
        <w:pBdr>
          <w:top w:val="nil"/>
          <w:left w:val="single" w:sz="18" w:space="7" w:color="1A73E8"/>
          <w:bottom w:val="nil"/>
          <w:right w:val="nil"/>
        </w:pBdr>
        <w:spacing w:before="0" w:after="30"/>
        <w:ind w:left="195" w:right="150"/>
        <w:rPr>
          <w:rStyle w:val="DefaultParagraphFont"/>
          <w:rFonts w:ascii="微软雅黑" w:eastAsia="微软雅黑" w:hAnsi="微软雅黑" w:cs="微软雅黑"/>
          <w:b/>
          <w:bCs/>
          <w:color w:val="1A73E8"/>
          <w:sz w:val="17"/>
          <w:szCs w:val="17"/>
          <w:lang w:val="zh-CN" w:eastAsia="zh-CN"/>
        </w:rPr>
      </w:pPr>
      <w:r>
        <w:rPr>
          <w:rStyle w:val="DefaultParagraphFont"/>
          <w:rFonts w:ascii="微软雅黑" w:eastAsia="微软雅黑" w:hAnsi="微软雅黑" w:cs="微软雅黑"/>
          <w:shd w:val="clear" w:color="auto" w:fill="auto"/>
          <w:lang w:val="zh-CN" w:eastAsia="zh-CN"/>
        </w:rPr>
        <w:t>表达与交流</w:t>
      </w:r>
      <w:r>
        <w:rPr>
          <w:rStyle w:val="skill-badge-green"/>
          <w:rFonts w:ascii="微软雅黑" w:eastAsia="微软雅黑" w:hAnsi="微软雅黑" w:cs="微软雅黑"/>
          <w:lang w:val="zh-CN" w:eastAsia="zh-CN"/>
        </w:rPr>
        <w:t>(9项未通过)</w:t>
      </w:r>
    </w:p>
    <w:tbl>
      <w:tblPr>
        <w:tblStyle w:val="skill-table"/>
        <w:tblW w:w="5000" w:type="pct"/>
        <w:tblInd w:w="136"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5953"/>
        <w:gridCol w:w="2551"/>
      </w:tblGrid>
      <w:tr>
        <w:tblPrEx>
          <w:tblW w:w="5000" w:type="pct"/>
          <w:tblInd w:w="136"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c>
          <w:tcPr>
            <w:tcW w:w="3500" w:type="pct"/>
            <w:tcBorders>
              <w:top w:val="single" w:sz="6" w:space="0" w:color="E8EEF5"/>
              <w:left w:val="single" w:sz="6" w:space="0" w:color="E8EEF5"/>
              <w:bottom w:val="single" w:sz="6" w:space="0" w:color="E8EEF5"/>
              <w:right w:val="single" w:sz="6" w:space="0" w:color="E8EEF5"/>
            </w:tcBorders>
            <w:shd w:val="clear" w:color="auto" w:fill="F7FAFD"/>
            <w:tcMar>
              <w:top w:w="68" w:type="dxa"/>
              <w:left w:w="128" w:type="dxa"/>
              <w:bottom w:w="68" w:type="dxa"/>
              <w:right w:w="128" w:type="dxa"/>
            </w:tcMar>
            <w:vAlign w:val="center"/>
          </w:tcPr>
          <w:p>
            <w:pPr>
              <w:shd w:val="clear" w:color="auto" w:fill="F7FAFD"/>
              <w:jc w:val="left"/>
              <w:rPr>
                <w:rStyle w:val="DefaultParagraphFont"/>
                <w:rFonts w:ascii="微软雅黑" w:eastAsia="微软雅黑" w:hAnsi="微软雅黑" w:cs="微软雅黑"/>
                <w:b w:val="0"/>
                <w:bCs w:val="0"/>
                <w:color w:val="888888"/>
                <w:sz w:val="17"/>
                <w:szCs w:val="17"/>
                <w:lang w:val="zh-CN" w:eastAsia="zh-CN"/>
              </w:rPr>
            </w:pPr>
            <w:r>
              <w:rPr>
                <w:rStyle w:val="DefaultParagraphFont"/>
                <w:rFonts w:ascii="微软雅黑" w:eastAsia="微软雅黑" w:hAnsi="微软雅黑" w:cs="微软雅黑"/>
                <w:b w:val="0"/>
                <w:bCs w:val="0"/>
                <w:color w:val="888888"/>
                <w:sz w:val="17"/>
                <w:szCs w:val="17"/>
                <w:lang w:val="zh-CN" w:eastAsia="zh-CN"/>
              </w:rPr>
              <w:t>评估条目</w:t>
            </w:r>
          </w:p>
        </w:tc>
        <w:tc>
          <w:tcPr>
            <w:tcW w:w="1500" w:type="pct"/>
            <w:tcBorders>
              <w:top w:val="single" w:sz="6" w:space="0" w:color="E8EEF5"/>
              <w:left w:val="single" w:sz="6" w:space="0" w:color="E8EEF5"/>
              <w:bottom w:val="single" w:sz="6" w:space="0" w:color="E8EEF5"/>
              <w:right w:val="single" w:sz="6" w:space="0" w:color="E8EEF5"/>
            </w:tcBorders>
            <w:shd w:val="clear" w:color="auto" w:fill="F7FAFD"/>
            <w:tcMar>
              <w:top w:w="68" w:type="dxa"/>
              <w:left w:w="128" w:type="dxa"/>
              <w:bottom w:w="68" w:type="dxa"/>
              <w:right w:w="128" w:type="dxa"/>
            </w:tcMar>
            <w:vAlign w:val="center"/>
          </w:tcPr>
          <w:p>
            <w:pPr>
              <w:shd w:val="clear" w:color="auto" w:fill="F7FAFD"/>
              <w:jc w:val="center"/>
              <w:rPr>
                <w:rStyle w:val="DefaultParagraphFont"/>
                <w:rFonts w:ascii="微软雅黑" w:eastAsia="微软雅黑" w:hAnsi="微软雅黑" w:cs="微软雅黑"/>
                <w:b w:val="0"/>
                <w:bCs w:val="0"/>
                <w:color w:val="888888"/>
                <w:sz w:val="17"/>
                <w:szCs w:val="17"/>
                <w:lang w:val="zh-CN" w:eastAsia="zh-CN"/>
              </w:rPr>
            </w:pPr>
            <w:r>
              <w:rPr>
                <w:rStyle w:val="DefaultParagraphFont"/>
                <w:rFonts w:ascii="微软雅黑" w:eastAsia="微软雅黑" w:hAnsi="微软雅黑" w:cs="微软雅黑"/>
                <w:b w:val="0"/>
                <w:bCs w:val="0"/>
                <w:color w:val="888888"/>
                <w:sz w:val="17"/>
                <w:szCs w:val="17"/>
                <w:lang w:val="zh-CN" w:eastAsia="zh-CN"/>
              </w:rPr>
              <w:t>得分</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别人讲话时能保持安静，耐心认真地倾听，不随意打断</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能听懂老师和同学说话的完整意思</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在教室内有其他声音干扰时，依然能准确听清并执行老师的指令</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能用普通话与人交谈，发音标准、吐字清晰</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在日常学习中，喜欢并坚持说普通话</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在日常生活中，喜欢并坚持说普通话</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能用完整的句子表达自己的需求（如：老师，我想去洗手间）</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和别人说话时态度自然大方，有礼貌，不显得紧张拘谨</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与人交流时，眼睛能看着对方，保持良好的目光接触</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bl>
    <w:p>
      <w:pPr>
        <w:pStyle w:val="skill-section-header"/>
        <w:pBdr>
          <w:top w:val="nil"/>
          <w:left w:val="single" w:sz="18" w:space="7" w:color="1A73E8"/>
          <w:bottom w:val="nil"/>
          <w:right w:val="nil"/>
        </w:pBdr>
        <w:spacing w:before="0" w:after="30"/>
        <w:ind w:left="195" w:right="150"/>
        <w:rPr>
          <w:rStyle w:val="DefaultParagraphFont"/>
          <w:rFonts w:ascii="微软雅黑" w:eastAsia="微软雅黑" w:hAnsi="微软雅黑" w:cs="微软雅黑"/>
          <w:b/>
          <w:bCs/>
          <w:color w:val="1A73E8"/>
          <w:sz w:val="17"/>
          <w:szCs w:val="17"/>
          <w:lang w:val="zh-CN" w:eastAsia="zh-CN"/>
        </w:rPr>
      </w:pPr>
      <w:r>
        <w:rPr>
          <w:rStyle w:val="DefaultParagraphFont"/>
          <w:rFonts w:ascii="微软雅黑" w:eastAsia="微软雅黑" w:hAnsi="微软雅黑" w:cs="微软雅黑"/>
          <w:shd w:val="clear" w:color="auto" w:fill="auto"/>
          <w:lang w:val="zh-CN" w:eastAsia="zh-CN"/>
        </w:rPr>
        <w:t>梳理与探究</w:t>
      </w:r>
      <w:r>
        <w:rPr>
          <w:rStyle w:val="skill-badge-green"/>
          <w:rFonts w:ascii="微软雅黑" w:eastAsia="微软雅黑" w:hAnsi="微软雅黑" w:cs="微软雅黑"/>
          <w:lang w:val="zh-CN" w:eastAsia="zh-CN"/>
        </w:rPr>
        <w:t>(9项未通过)</w:t>
      </w:r>
    </w:p>
    <w:tbl>
      <w:tblPr>
        <w:tblStyle w:val="skill-table"/>
        <w:tblW w:w="5000" w:type="pct"/>
        <w:tblInd w:w="136"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5953"/>
        <w:gridCol w:w="2551"/>
      </w:tblGrid>
      <w:tr>
        <w:tblPrEx>
          <w:tblW w:w="5000" w:type="pct"/>
          <w:tblInd w:w="136"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c>
          <w:tcPr>
            <w:tcW w:w="3500" w:type="pct"/>
            <w:tcBorders>
              <w:top w:val="single" w:sz="6" w:space="0" w:color="E8EEF5"/>
              <w:left w:val="single" w:sz="6" w:space="0" w:color="E8EEF5"/>
              <w:bottom w:val="single" w:sz="6" w:space="0" w:color="E8EEF5"/>
              <w:right w:val="single" w:sz="6" w:space="0" w:color="E8EEF5"/>
            </w:tcBorders>
            <w:shd w:val="clear" w:color="auto" w:fill="F7FAFD"/>
            <w:tcMar>
              <w:top w:w="68" w:type="dxa"/>
              <w:left w:w="128" w:type="dxa"/>
              <w:bottom w:w="68" w:type="dxa"/>
              <w:right w:w="128" w:type="dxa"/>
            </w:tcMar>
            <w:vAlign w:val="center"/>
          </w:tcPr>
          <w:p>
            <w:pPr>
              <w:shd w:val="clear" w:color="auto" w:fill="F7FAFD"/>
              <w:jc w:val="left"/>
              <w:rPr>
                <w:rStyle w:val="DefaultParagraphFont"/>
                <w:rFonts w:ascii="微软雅黑" w:eastAsia="微软雅黑" w:hAnsi="微软雅黑" w:cs="微软雅黑"/>
                <w:b w:val="0"/>
                <w:bCs w:val="0"/>
                <w:color w:val="888888"/>
                <w:sz w:val="17"/>
                <w:szCs w:val="17"/>
                <w:lang w:val="zh-CN" w:eastAsia="zh-CN"/>
              </w:rPr>
            </w:pPr>
            <w:r>
              <w:rPr>
                <w:rStyle w:val="DefaultParagraphFont"/>
                <w:rFonts w:ascii="微软雅黑" w:eastAsia="微软雅黑" w:hAnsi="微软雅黑" w:cs="微软雅黑"/>
                <w:b w:val="0"/>
                <w:bCs w:val="0"/>
                <w:color w:val="888888"/>
                <w:sz w:val="17"/>
                <w:szCs w:val="17"/>
                <w:lang w:val="zh-CN" w:eastAsia="zh-CN"/>
              </w:rPr>
              <w:t>评估条目</w:t>
            </w:r>
          </w:p>
        </w:tc>
        <w:tc>
          <w:tcPr>
            <w:tcW w:w="1500" w:type="pct"/>
            <w:tcBorders>
              <w:top w:val="single" w:sz="6" w:space="0" w:color="E8EEF5"/>
              <w:left w:val="single" w:sz="6" w:space="0" w:color="E8EEF5"/>
              <w:bottom w:val="single" w:sz="6" w:space="0" w:color="E8EEF5"/>
              <w:right w:val="single" w:sz="6" w:space="0" w:color="E8EEF5"/>
            </w:tcBorders>
            <w:shd w:val="clear" w:color="auto" w:fill="F7FAFD"/>
            <w:tcMar>
              <w:top w:w="68" w:type="dxa"/>
              <w:left w:w="128" w:type="dxa"/>
              <w:bottom w:w="68" w:type="dxa"/>
              <w:right w:w="128" w:type="dxa"/>
            </w:tcMar>
            <w:vAlign w:val="center"/>
          </w:tcPr>
          <w:p>
            <w:pPr>
              <w:shd w:val="clear" w:color="auto" w:fill="F7FAFD"/>
              <w:jc w:val="center"/>
              <w:rPr>
                <w:rStyle w:val="DefaultParagraphFont"/>
                <w:rFonts w:ascii="微软雅黑" w:eastAsia="微软雅黑" w:hAnsi="微软雅黑" w:cs="微软雅黑"/>
                <w:b w:val="0"/>
                <w:bCs w:val="0"/>
                <w:color w:val="888888"/>
                <w:sz w:val="17"/>
                <w:szCs w:val="17"/>
                <w:lang w:val="zh-CN" w:eastAsia="zh-CN"/>
              </w:rPr>
            </w:pPr>
            <w:r>
              <w:rPr>
                <w:rStyle w:val="DefaultParagraphFont"/>
                <w:rFonts w:ascii="微软雅黑" w:eastAsia="微软雅黑" w:hAnsi="微软雅黑" w:cs="微软雅黑"/>
                <w:b w:val="0"/>
                <w:bCs w:val="0"/>
                <w:color w:val="888888"/>
                <w:sz w:val="17"/>
                <w:szCs w:val="17"/>
                <w:lang w:val="zh-CN" w:eastAsia="zh-CN"/>
              </w:rPr>
              <w:t>得分</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能独立复习本册学过的拼音（如声母、韵母、整体认读音节）</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能独立复习本册学过的汉字</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能主动发现并纠正自己读错或写错的字音、字形</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能结合语文课上学的知识，主动在生活中学习新汉字</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能把在学校学的汉字用在生活里（如在超市用学过的字认识物品名称）</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能把日常生活中看到的事物，用嘴巴仔细、清楚地描述出来</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能把日常生活中看到的事物，用画画的方式记录并表达出来</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能主动分享自己参加学校活动（如运动会）的见闻和心里的感受</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r>
        <w:tblPrEx>
          <w:tblW w:w="5000" w:type="pct"/>
          <w:tblInd w:w="136" w:type="dxa"/>
          <w:tblCellMar>
            <w:top w:w="0" w:type="dxa"/>
            <w:left w:w="0" w:type="dxa"/>
            <w:bottom w:w="0" w:type="dxa"/>
            <w:right w:w="0" w:type="dxa"/>
          </w:tblCellMar>
        </w:tblPrEx>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pStyle w:val="sub-label"/>
              <w:pBdr>
                <w:top w:val="none" w:sz="0" w:space="0" w:color="auto"/>
                <w:left w:val="none" w:sz="0" w:space="0" w:color="auto"/>
                <w:bottom w:val="none" w:sz="0" w:space="0" w:color="auto"/>
                <w:right w:val="none" w:sz="0" w:space="0" w:color="auto"/>
              </w:pBdr>
              <w:spacing w:before="0" w:after="30"/>
              <w:rPr>
                <w:rStyle w:val="DefaultParagraphFont"/>
                <w:rFonts w:ascii="微软雅黑" w:eastAsia="微软雅黑" w:hAnsi="微软雅黑" w:cs="微软雅黑"/>
                <w:color w:val="AAAAAA"/>
                <w:sz w:val="15"/>
                <w:szCs w:val="15"/>
                <w:lang w:val="zh-CN" w:eastAsia="zh-CN"/>
              </w:rPr>
            </w:pPr>
            <w:r>
              <w:rPr>
                <w:rStyle w:val="DefaultParagraphFont"/>
                <w:rFonts w:ascii="微软雅黑" w:eastAsia="微软雅黑" w:hAnsi="微软雅黑" w:cs="微软雅黑"/>
                <w:lang w:val="zh-CN" w:eastAsia="zh-CN"/>
              </w:rPr>
              <w:t>能将语文课上学到的词语，尝试运用在其他科目（如常识课、数学课）中</w:t>
            </w:r>
          </w:p>
        </w:tc>
        <w:tc>
          <w:tcPr>
            <w:tcBorders>
              <w:top w:val="single" w:sz="6" w:space="0" w:color="E8EEF5"/>
              <w:left w:val="single" w:sz="6" w:space="0" w:color="E8EEF5"/>
              <w:bottom w:val="single" w:sz="6" w:space="0" w:color="E8EEF5"/>
              <w:right w:val="single" w:sz="6" w:space="0" w:color="E8EEF5"/>
            </w:tcBorders>
            <w:tcMar>
              <w:top w:w="82" w:type="dxa"/>
              <w:left w:w="128" w:type="dxa"/>
              <w:bottom w:w="82" w:type="dxa"/>
              <w:right w:w="128" w:type="dxa"/>
            </w:tcMar>
            <w:vAlign w:val="center"/>
          </w:tcPr>
          <w:p>
            <w:pPr>
              <w:jc w:val="center"/>
              <w:rPr>
                <w:rStyle w:val="DefaultParagraphFont"/>
                <w:rFonts w:ascii="微软雅黑" w:eastAsia="微软雅黑" w:hAnsi="微软雅黑" w:cs="微软雅黑"/>
                <w:b/>
                <w:bCs/>
                <w:color w:val="444444"/>
                <w:sz w:val="17"/>
                <w:szCs w:val="17"/>
                <w:lang w:val="zh-CN" w:eastAsia="zh-CN"/>
              </w:rPr>
            </w:pPr>
            <w:r>
              <w:rPr>
                <w:rStyle w:val="DefaultParagraphFont"/>
                <w:rFonts w:ascii="微软雅黑" w:eastAsia="微软雅黑" w:hAnsi="微软雅黑" w:cs="微软雅黑"/>
                <w:b/>
                <w:bCs/>
                <w:color w:val="444444"/>
                <w:sz w:val="17"/>
                <w:szCs w:val="17"/>
                <w:lang w:val="zh-CN" w:eastAsia="zh-CN"/>
              </w:rPr>
              <w:t>1/4.0</w:t>
            </w:r>
          </w:p>
        </w:tc>
      </w:tr>
    </w:tbl>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page-header">
    <w:name w:val="page-header"/>
    <w:basedOn w:val="Normal"/>
    <w:pPr>
      <w:pBdr>
        <w:top w:val="none" w:sz="0" w:space="6" w:color="auto"/>
        <w:left w:val="none" w:sz="0" w:space="12" w:color="auto"/>
        <w:bottom w:val="single" w:sz="6" w:space="4" w:color="E8E8E8"/>
        <w:right w:val="none" w:sz="0" w:space="12" w:color="auto"/>
      </w:pBdr>
      <w:shd w:val="clear" w:color="auto" w:fill="FFFFFF"/>
    </w:pPr>
    <w:rPr>
      <w:shd w:val="clear" w:color="auto" w:fill="FFFFFF"/>
    </w:rPr>
  </w:style>
  <w:style w:type="paragraph" w:customStyle="1" w:styleId="page-title">
    <w:name w:val="page-title"/>
    <w:basedOn w:val="Normal"/>
    <w:rPr>
      <w:b/>
      <w:bCs/>
      <w:color w:val="222222"/>
      <w:sz w:val="23"/>
      <w:szCs w:val="23"/>
    </w:rPr>
  </w:style>
  <w:style w:type="paragraph" w:customStyle="1" w:styleId="info-row">
    <w:name w:val="info-row"/>
    <w:basedOn w:val="Normal"/>
    <w:pPr>
      <w:spacing w:line="280" w:lineRule="atLeast"/>
    </w:pPr>
    <w:rPr>
      <w:color w:val="555555"/>
      <w:sz w:val="17"/>
      <w:szCs w:val="17"/>
    </w:rPr>
  </w:style>
  <w:style w:type="character" w:customStyle="1" w:styleId="info-label">
    <w:name w:val="info-label"/>
    <w:basedOn w:val="DefaultParagraphFont"/>
    <w:rPr>
      <w:color w:val="888888"/>
    </w:rPr>
  </w:style>
  <w:style w:type="table" w:customStyle="1" w:styleId="any">
    <w:name w:val="any"/>
    <w:basedOn w:val="TableNormal"/>
    <w:tblPr/>
  </w:style>
  <w:style w:type="paragraph" w:customStyle="1" w:styleId="anyParagraph">
    <w:name w:val="any Paragraph"/>
    <w:basedOn w:val="Normal"/>
    <w:pPr>
      <w:pBdr>
        <w:top w:val="none" w:sz="0" w:space="0" w:color="auto"/>
        <w:left w:val="none" w:sz="0" w:space="0" w:color="auto"/>
        <w:bottom w:val="none" w:sz="0" w:space="0" w:color="auto"/>
        <w:right w:val="none" w:sz="0" w:space="0" w:color="auto"/>
      </w:pBdr>
    </w:pPr>
  </w:style>
  <w:style w:type="character" w:customStyle="1" w:styleId="anyCharacter">
    <w:name w:val="any Character"/>
    <w:basedOn w:val="DefaultParagraphFont"/>
  </w:style>
  <w:style w:type="paragraph" w:customStyle="1" w:styleId="section-title">
    <w:name w:val="section-title"/>
    <w:basedOn w:val="Normal"/>
    <w:pPr>
      <w:pBdr>
        <w:left w:val="single" w:sz="18" w:space="6" w:color="1A73E8"/>
      </w:pBdr>
    </w:pPr>
    <w:rPr>
      <w:b/>
      <w:bCs/>
      <w:color w:val="222222"/>
      <w:sz w:val="20"/>
      <w:szCs w:val="20"/>
    </w:rPr>
  </w:style>
  <w:style w:type="paragraph" w:customStyle="1" w:styleId="chart-area">
    <w:name w:val="chart-area"/>
    <w:basedOn w:val="Normal"/>
    <w:pPr>
      <w:pBdr>
        <w:top w:val="single" w:sz="6" w:space="9" w:color="E8EEF5"/>
        <w:left w:val="single" w:sz="6" w:space="6" w:color="E8EEF5"/>
        <w:bottom w:val="single" w:sz="6" w:space="6" w:color="E8EEF5"/>
        <w:right w:val="single" w:sz="6" w:space="6" w:color="E8EEF5"/>
      </w:pBdr>
      <w:shd w:val="clear" w:color="auto" w:fill="FFFFFF"/>
    </w:pPr>
    <w:rPr>
      <w:bdr w:val="single" w:sz="6" w:space="0" w:color="E8EEF5"/>
      <w:shd w:val="clear" w:color="auto" w:fill="FFFFFF"/>
    </w:rPr>
  </w:style>
  <w:style w:type="paragraph" w:customStyle="1" w:styleId="bar-chart-wrap">
    <w:name w:val="bar-chart-wrap"/>
    <w:basedOn w:val="Normal"/>
    <w:pPr>
      <w:pBdr>
        <w:top w:val="single" w:sz="6" w:space="9" w:color="E8EEF5"/>
        <w:left w:val="single" w:sz="6" w:space="6" w:color="E8EEF5"/>
        <w:bottom w:val="single" w:sz="6" w:space="6" w:color="E8EEF5"/>
        <w:right w:val="single" w:sz="6" w:space="6" w:color="E8EEF5"/>
      </w:pBdr>
      <w:shd w:val="clear" w:color="auto" w:fill="FFFFFF"/>
    </w:pPr>
    <w:rPr>
      <w:bdr w:val="single" w:sz="6" w:space="0" w:color="E8EEF5"/>
      <w:shd w:val="clear" w:color="auto" w:fill="FFFFFF"/>
    </w:rPr>
  </w:style>
  <w:style w:type="paragraph" w:customStyle="1" w:styleId="analysis-section">
    <w:name w:val="analysis-section"/>
    <w:basedOn w:val="Normal"/>
    <w:pPr>
      <w:pBdr>
        <w:top w:val="single" w:sz="6" w:space="7" w:color="E8EEF5"/>
        <w:left w:val="single" w:sz="6" w:space="10" w:color="E8EEF5"/>
        <w:bottom w:val="single" w:sz="6" w:space="7" w:color="E8EEF5"/>
        <w:right w:val="single" w:sz="6" w:space="10" w:color="E8EEF5"/>
      </w:pBdr>
      <w:shd w:val="clear" w:color="auto" w:fill="FFFFFF"/>
    </w:pPr>
    <w:rPr>
      <w:bdr w:val="single" w:sz="6" w:space="0" w:color="E8EEF5"/>
      <w:shd w:val="clear" w:color="auto" w:fill="FFFFFF"/>
    </w:rPr>
  </w:style>
  <w:style w:type="paragraph" w:customStyle="1" w:styleId="analysis-header">
    <w:name w:val="analysis-header"/>
    <w:basedOn w:val="Normal"/>
    <w:rPr>
      <w:b/>
      <w:bCs/>
      <w:color w:val="1A73E8"/>
      <w:sz w:val="18"/>
      <w:szCs w:val="18"/>
    </w:rPr>
  </w:style>
  <w:style w:type="character" w:customStyle="1" w:styleId="analysis-icon">
    <w:name w:val="analysis-icon"/>
    <w:basedOn w:val="DefaultParagraphFont"/>
    <w:rPr>
      <w:color w:val="1A73E8"/>
      <w:sz w:val="15"/>
      <w:szCs w:val="15"/>
      <w:shd w:val="clear" w:color="auto" w:fill="E8F0FE"/>
    </w:rPr>
  </w:style>
  <w:style w:type="paragraph" w:customStyle="1" w:styleId="analysis-text">
    <w:name w:val="analysis-text"/>
    <w:basedOn w:val="Normal"/>
    <w:pPr>
      <w:spacing w:line="297" w:lineRule="atLeast"/>
    </w:pPr>
    <w:rPr>
      <w:color w:val="444444"/>
      <w:sz w:val="17"/>
      <w:szCs w:val="17"/>
    </w:rPr>
  </w:style>
  <w:style w:type="paragraph" w:customStyle="1" w:styleId="advice-header">
    <w:name w:val="advice-header"/>
    <w:basedOn w:val="Normal"/>
    <w:rPr>
      <w:b/>
      <w:bCs/>
      <w:color w:val="E05A5A"/>
      <w:sz w:val="18"/>
      <w:szCs w:val="18"/>
    </w:rPr>
  </w:style>
  <w:style w:type="character" w:customStyle="1" w:styleId="advice-icon">
    <w:name w:val="advice-icon"/>
    <w:basedOn w:val="DefaultParagraphFont"/>
    <w:rPr>
      <w:color w:val="E05A5A"/>
      <w:sz w:val="15"/>
      <w:szCs w:val="15"/>
      <w:shd w:val="clear" w:color="auto" w:fill="FDE8E8"/>
    </w:rPr>
  </w:style>
  <w:style w:type="paragraph" w:customStyle="1" w:styleId="skill-section">
    <w:name w:val="skill-section"/>
    <w:basedOn w:val="Normal"/>
  </w:style>
  <w:style w:type="paragraph" w:customStyle="1" w:styleId="skill-section-header">
    <w:name w:val="skill-section-header"/>
    <w:basedOn w:val="Normal"/>
    <w:pPr>
      <w:pBdr>
        <w:top w:val="none" w:sz="0" w:space="3" w:color="auto"/>
        <w:left w:val="single" w:sz="18" w:space="7" w:color="1A73E8"/>
        <w:bottom w:val="none" w:sz="0" w:space="3" w:color="auto"/>
        <w:right w:val="none" w:sz="0" w:space="7" w:color="auto"/>
      </w:pBdr>
      <w:shd w:val="clear" w:color="auto" w:fill="F0F7FF"/>
    </w:pPr>
    <w:rPr>
      <w:b/>
      <w:bCs/>
      <w:color w:val="1A73E8"/>
      <w:sz w:val="17"/>
      <w:szCs w:val="17"/>
      <w:shd w:val="clear" w:color="auto" w:fill="F0F7FF"/>
    </w:rPr>
  </w:style>
  <w:style w:type="character" w:customStyle="1" w:styleId="skill-badge-green">
    <w:name w:val="skill-badge-green"/>
    <w:basedOn w:val="DefaultParagraphFont"/>
    <w:rPr>
      <w:color w:val="FFFFFF"/>
      <w:sz w:val="15"/>
      <w:szCs w:val="15"/>
      <w:shd w:val="clear" w:color="auto" w:fill="52C41A"/>
    </w:rPr>
  </w:style>
  <w:style w:type="paragraph" w:customStyle="1" w:styleId="sub-label">
    <w:name w:val="sub-label"/>
    <w:basedOn w:val="Normal"/>
    <w:rPr>
      <w:color w:val="AAAAAA"/>
      <w:sz w:val="15"/>
      <w:szCs w:val="15"/>
    </w:rPr>
  </w:style>
  <w:style w:type="table" w:customStyle="1" w:styleId="skill-table">
    <w:name w:val="skill-table"/>
    <w:basedOn w:val="TableNormal"/>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