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p>
      <w:pPr>
        <w:pStyle w:val="page-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after="90"/>
        <w:ind w:left="240" w:right="240"/>
        <w:rPr>
          <w:rStyle w:val="DefaultParagraphFont"/>
          <w:rFonts w:ascii="微软雅黑" w:eastAsia="微软雅黑" w:hAnsi="微软雅黑" w:cs="微软雅黑"/>
          <w:b/>
          <w:bCs/>
          <w:color w:val="222222"/>
          <w:sz w:val="23"/>
          <w:szCs w:val="23"/>
          <w:lang w:val="zh-CN" w:eastAsia="zh-CN"/>
        </w:rPr>
      </w:pPr>
      <w:r>
        <w:rPr>
          <w:rStyle w:val="DefaultParagraphFont"/>
          <w:rFonts w:ascii="微软雅黑" w:eastAsia="微软雅黑" w:hAnsi="微软雅黑" w:cs="微软雅黑"/>
          <w:lang w:val="zh-CN" w:eastAsia="zh-CN"/>
        </w:rPr>
        <w:t>📄 学校适应能力评估报告</w:t>
      </w:r>
    </w:p>
    <w:tbl>
      <w:tblPr>
        <w:tblStyle w:val="any"/>
        <w:tblW w:w="5000" w:type="pct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</w:tblPr>
      <w:tblGrid>
        <w:gridCol w:w="5880"/>
        <w:gridCol w:w="2520"/>
      </w:tblGrid>
      <w:tr>
        <w:tblPrEx>
          <w:tblW w:w="5000" w:type="pct"/>
          <w:tblInd w:w="24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info-ro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rPr>
                <w:rStyle w:val="DefaultParagraphFont"/>
                <w:rFonts w:ascii="微软雅黑" w:eastAsia="微软雅黑" w:hAnsi="微软雅黑" w:cs="微软雅黑"/>
                <w:color w:val="555555"/>
                <w:sz w:val="17"/>
                <w:szCs w:val="17"/>
                <w:lang w:val="zh-CN" w:eastAsia="zh-CN"/>
              </w:rPr>
            </w:pPr>
            <w:r>
              <w:rPr>
                <w:rStyle w:val="info-label"/>
                <w:rFonts w:ascii="微软雅黑" w:eastAsia="微软雅黑" w:hAnsi="微软雅黑" w:cs="微软雅黑"/>
                <w:lang w:val="zh-CN" w:eastAsia="zh-CN"/>
              </w:rPr>
              <w:t>姓名：</w:t>
            </w: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哈哈</w:t>
            </w:r>
          </w:p>
          <w:p>
            <w:pPr>
              <w:pStyle w:val="info-ro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rPr>
                <w:rStyle w:val="DefaultParagraphFont"/>
                <w:rFonts w:ascii="微软雅黑" w:eastAsia="微软雅黑" w:hAnsi="微软雅黑" w:cs="微软雅黑"/>
                <w:color w:val="555555"/>
                <w:sz w:val="17"/>
                <w:szCs w:val="17"/>
                <w:lang w:val="zh-CN" w:eastAsia="zh-CN"/>
              </w:rPr>
            </w:pPr>
            <w:r>
              <w:rPr>
                <w:rStyle w:val="info-label"/>
                <w:rFonts w:ascii="微软雅黑" w:eastAsia="微软雅黑" w:hAnsi="微软雅黑" w:cs="微软雅黑"/>
                <w:lang w:val="zh-CN" w:eastAsia="zh-CN"/>
              </w:rPr>
              <w:t>年级/班：</w:t>
            </w: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一年级  1班</w:t>
            </w:r>
          </w:p>
          <w:p>
            <w:pPr>
              <w:pStyle w:val="info-ro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rPr>
                <w:rStyle w:val="DefaultParagraphFont"/>
                <w:rFonts w:ascii="微软雅黑" w:eastAsia="微软雅黑" w:hAnsi="微软雅黑" w:cs="微软雅黑"/>
                <w:color w:val="555555"/>
                <w:sz w:val="17"/>
                <w:szCs w:val="17"/>
                <w:lang w:val="zh-CN" w:eastAsia="zh-CN"/>
              </w:rPr>
            </w:pPr>
            <w:r>
              <w:rPr>
                <w:rStyle w:val="info-label"/>
                <w:rFonts w:ascii="微软雅黑" w:eastAsia="微软雅黑" w:hAnsi="微软雅黑" w:cs="微软雅黑"/>
                <w:lang w:val="zh-CN" w:eastAsia="zh-CN"/>
              </w:rPr>
              <w:t>障碍类型：</w:t>
            </w: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抽动症</w:t>
            </w:r>
          </w:p>
        </w:tc>
        <w:tc>
          <w:tcPr>
            <w:tcW w:w="15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info-ro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right"/>
              <w:rPr>
                <w:rStyle w:val="DefaultParagraphFont"/>
                <w:rFonts w:ascii="微软雅黑" w:eastAsia="微软雅黑" w:hAnsi="微软雅黑" w:cs="微软雅黑"/>
                <w:color w:val="555555"/>
                <w:sz w:val="17"/>
                <w:szCs w:val="17"/>
                <w:lang w:val="zh-CN" w:eastAsia="zh-CN"/>
              </w:rPr>
            </w:pPr>
            <w:r>
              <w:rPr>
                <w:rStyle w:val="info-label"/>
                <w:rFonts w:ascii="微软雅黑" w:eastAsia="微软雅黑" w:hAnsi="微软雅黑" w:cs="微软雅黑"/>
                <w:lang w:val="zh-CN" w:eastAsia="zh-CN"/>
              </w:rPr>
              <w:t>评估量：</w:t>
            </w: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学校适应能力评估</w:t>
            </w:r>
          </w:p>
          <w:p>
            <w:pPr>
              <w:pStyle w:val="info-ro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right"/>
              <w:rPr>
                <w:rStyle w:val="DefaultParagraphFont"/>
                <w:rFonts w:ascii="微软雅黑" w:eastAsia="微软雅黑" w:hAnsi="微软雅黑" w:cs="微软雅黑"/>
                <w:color w:val="555555"/>
                <w:sz w:val="17"/>
                <w:szCs w:val="17"/>
                <w:lang w:val="zh-CN" w:eastAsia="zh-CN"/>
              </w:rPr>
            </w:pPr>
            <w:r>
              <w:rPr>
                <w:rStyle w:val="info-label"/>
                <w:rFonts w:ascii="微软雅黑" w:eastAsia="微软雅黑" w:hAnsi="微软雅黑" w:cs="微软雅黑"/>
                <w:lang w:val="zh-CN" w:eastAsia="zh-CN"/>
              </w:rPr>
              <w:t>评估日期：</w:t>
            </w: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2026-06-22</w:t>
            </w:r>
          </w:p>
          <w:p>
            <w:pPr>
              <w:pStyle w:val="info-row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right"/>
              <w:rPr>
                <w:rStyle w:val="DefaultParagraphFont"/>
                <w:rFonts w:ascii="微软雅黑" w:eastAsia="微软雅黑" w:hAnsi="微软雅黑" w:cs="微软雅黑"/>
                <w:color w:val="555555"/>
                <w:sz w:val="17"/>
                <w:szCs w:val="17"/>
                <w:lang w:val="zh-CN" w:eastAsia="zh-CN"/>
              </w:rPr>
            </w:pPr>
            <w:r>
              <w:rPr>
                <w:rStyle w:val="info-label"/>
                <w:rFonts w:ascii="微软雅黑" w:eastAsia="微软雅黑" w:hAnsi="微软雅黑" w:cs="微软雅黑"/>
                <w:lang w:val="zh-CN" w:eastAsia="zh-CN"/>
              </w:rPr>
              <w:t>评估师：</w:t>
            </w:r>
          </w:p>
        </w:tc>
      </w:tr>
    </w:tbl>
    <w:p>
      <w:pPr>
        <w:rPr>
          <w:vanish/>
        </w:rPr>
      </w:pPr>
    </w:p>
    <w:tbl>
      <w:tblPr>
        <w:tblStyle w:val="any"/>
        <w:tblW w:w="5000" w:type="pct"/>
        <w:tblInd w:w="8" w:type="dxa"/>
        <w:tblBorders>
          <w:top w:val="single" w:sz="6" w:space="0" w:color="E0EAF4"/>
          <w:left w:val="single" w:sz="6" w:space="0" w:color="E0EAF4"/>
          <w:bottom w:val="single" w:sz="6" w:space="0" w:color="E0EAF4"/>
          <w:right w:val="single" w:sz="6" w:space="0" w:color="E0EAF4"/>
        </w:tblBorders>
        <w:shd w:val="clear" w:color="auto" w:fill="F7FAF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1"/>
        <w:gridCol w:w="2151"/>
        <w:gridCol w:w="2151"/>
        <w:gridCol w:w="2151"/>
      </w:tblGrid>
      <w:tr>
        <w:tblPrEx>
          <w:tblW w:w="5000" w:type="pct"/>
          <w:tblInd w:w="8" w:type="dxa"/>
          <w:tblBorders>
            <w:top w:val="single" w:sz="6" w:space="0" w:color="E0EAF4"/>
            <w:left w:val="single" w:sz="6" w:space="0" w:color="E0EAF4"/>
            <w:bottom w:val="single" w:sz="6" w:space="0" w:color="E0EAF4"/>
            <w:right w:val="single" w:sz="6" w:space="0" w:color="E0EAF4"/>
          </w:tblBorders>
          <w:shd w:val="clear" w:color="auto" w:fill="F7FAF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50" w:type="pct"/>
            <w:tcBorders>
              <w:right w:val="single" w:sz="6" w:space="0" w:color="E0EAF4"/>
            </w:tcBorders>
            <w:shd w:val="clear" w:color="auto" w:fill="F7FAFD"/>
            <w:tcMar>
              <w:top w:w="150" w:type="dxa"/>
              <w:left w:w="0" w:type="dxa"/>
              <w:bottom w:w="150" w:type="dxa"/>
              <w:right w:w="8" w:type="dxa"/>
            </w:tcMar>
            <w:vAlign w:val="center"/>
          </w:tcPr>
          <w:p>
            <w:pPr>
              <w:pStyle w:val="anyParagraph"/>
              <w:spacing w:before="0" w:after="60"/>
              <w:jc w:val="center"/>
              <w:rPr>
                <w:rStyle w:val="DefaultParagraphFont"/>
                <w:rFonts w:ascii="微软雅黑" w:eastAsia="微软雅黑" w:hAnsi="微软雅黑" w:cs="微软雅黑"/>
                <w:color w:val="888888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color w:val="888888"/>
                <w:sz w:val="17"/>
                <w:szCs w:val="17"/>
                <w:lang w:val="zh-CN" w:eastAsia="zh-CN"/>
              </w:rPr>
              <w:t>本次评估</w:t>
            </w:r>
          </w:p>
          <w:p>
            <w:pPr>
              <w:pStyle w:val="anyParagraph"/>
              <w:spacing w:before="0" w:after="0"/>
              <w:jc w:val="center"/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1A73E8"/>
                <w:sz w:val="33"/>
                <w:szCs w:val="33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1A73E8"/>
                <w:sz w:val="33"/>
                <w:szCs w:val="33"/>
                <w:lang w:val="zh-CN" w:eastAsia="zh-CN"/>
              </w:rPr>
              <w:t>101</w:t>
            </w:r>
            <w:r>
              <w:rPr>
                <w:rStyle w:val="anyCharacter"/>
                <w:rFonts w:ascii="微软雅黑" w:eastAsia="微软雅黑" w:hAnsi="微软雅黑" w:cs="微软雅黑"/>
                <w:b w:val="0"/>
                <w:bCs w:val="0"/>
                <w:color w:val="AAAAAA"/>
                <w:sz w:val="18"/>
                <w:szCs w:val="18"/>
                <w:lang w:val="zh-CN" w:eastAsia="zh-CN"/>
              </w:rPr>
              <w:t>/180分</w:t>
            </w:r>
          </w:p>
        </w:tc>
        <w:tc>
          <w:tcPr>
            <w:tcW w:w="1250" w:type="pct"/>
            <w:tcBorders>
              <w:right w:val="single" w:sz="6" w:space="0" w:color="E0EAF4"/>
            </w:tcBorders>
            <w:shd w:val="clear" w:color="auto" w:fill="F7FAFD"/>
            <w:tcMar>
              <w:top w:w="150" w:type="dxa"/>
              <w:left w:w="0" w:type="dxa"/>
              <w:bottom w:w="150" w:type="dxa"/>
              <w:right w:w="8" w:type="dxa"/>
            </w:tcMar>
            <w:vAlign w:val="center"/>
          </w:tcPr>
          <w:p>
            <w:pPr>
              <w:pStyle w:val="anyParagraph"/>
              <w:spacing w:before="0" w:after="60"/>
              <w:jc w:val="center"/>
              <w:rPr>
                <w:rStyle w:val="DefaultParagraphFont"/>
                <w:rFonts w:ascii="微软雅黑" w:eastAsia="微软雅黑" w:hAnsi="微软雅黑" w:cs="微软雅黑"/>
                <w:color w:val="888888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color w:val="888888"/>
                <w:sz w:val="17"/>
                <w:szCs w:val="17"/>
                <w:lang w:val="zh-CN" w:eastAsia="zh-CN"/>
              </w:rPr>
              <w:t>结果评价</w:t>
            </w:r>
          </w:p>
          <w:p>
            <w:pPr>
              <w:pStyle w:val="anyParagraph"/>
              <w:spacing w:before="0" w:after="0"/>
              <w:jc w:val="center"/>
              <w:rPr>
                <w:rStyle w:val="DefaultParagraphFont"/>
                <w:rFonts w:ascii="微软雅黑" w:eastAsia="微软雅黑" w:hAnsi="微软雅黑" w:cs="微软雅黑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anyCharacter"/>
                <w:rFonts w:ascii="微软雅黑" w:eastAsia="微软雅黑" w:hAnsi="微软雅黑" w:cs="微软雅黑"/>
                <w:color w:val="FFFFFF"/>
                <w:sz w:val="17"/>
                <w:szCs w:val="17"/>
                <w:shd w:val="clear" w:color="auto" w:fill="1A73E8"/>
                <w:lang w:val="zh-CN" w:eastAsia="zh-CN"/>
              </w:rPr>
              <w:t>优秀</w:t>
            </w:r>
          </w:p>
        </w:tc>
        <w:tc>
          <w:tcPr>
            <w:tcW w:w="1250" w:type="pct"/>
            <w:tcBorders>
              <w:right w:val="single" w:sz="6" w:space="0" w:color="E0EAF4"/>
            </w:tcBorders>
            <w:shd w:val="clear" w:color="auto" w:fill="F7FAFD"/>
            <w:tcMar>
              <w:top w:w="150" w:type="dxa"/>
              <w:left w:w="0" w:type="dxa"/>
              <w:bottom w:w="150" w:type="dxa"/>
              <w:right w:w="8" w:type="dxa"/>
            </w:tcMar>
            <w:vAlign w:val="center"/>
          </w:tcPr>
          <w:p>
            <w:pPr>
              <w:pStyle w:val="anyParagraph"/>
              <w:spacing w:before="0" w:after="60"/>
              <w:jc w:val="center"/>
              <w:rPr>
                <w:rStyle w:val="DefaultParagraphFont"/>
                <w:rFonts w:ascii="微软雅黑" w:eastAsia="微软雅黑" w:hAnsi="微软雅黑" w:cs="微软雅黑"/>
                <w:color w:val="888888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color w:val="888888"/>
                <w:sz w:val="17"/>
                <w:szCs w:val="17"/>
                <w:lang w:val="zh-CN" w:eastAsia="zh-CN"/>
              </w:rPr>
              <w:t>领域通过率</w:t>
            </w:r>
          </w:p>
          <w:p>
            <w:pPr>
              <w:pStyle w:val="anyParagraph"/>
              <w:spacing w:before="0" w:after="0"/>
              <w:jc w:val="center"/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1A73E8"/>
                <w:sz w:val="33"/>
                <w:szCs w:val="33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1A73E8"/>
                <w:sz w:val="33"/>
                <w:szCs w:val="33"/>
                <w:lang w:val="zh-CN" w:eastAsia="zh-CN"/>
              </w:rPr>
              <w:t>44%</w:t>
            </w:r>
          </w:p>
        </w:tc>
        <w:tc>
          <w:tcPr>
            <w:tcW w:w="1250" w:type="pct"/>
            <w:shd w:val="clear" w:color="auto" w:fill="F7FAFD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>
            <w:pPr>
              <w:pStyle w:val="anyParagraph"/>
              <w:spacing w:before="0" w:after="60"/>
              <w:jc w:val="center"/>
              <w:rPr>
                <w:rStyle w:val="DefaultParagraphFont"/>
                <w:rFonts w:ascii="微软雅黑" w:eastAsia="微软雅黑" w:hAnsi="微软雅黑" w:cs="微软雅黑"/>
                <w:color w:val="888888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color w:val="888888"/>
                <w:sz w:val="17"/>
                <w:szCs w:val="17"/>
                <w:lang w:val="zh-CN" w:eastAsia="zh-CN"/>
              </w:rPr>
              <w:t>整体通过率</w:t>
            </w:r>
          </w:p>
          <w:p>
            <w:pPr>
              <w:pStyle w:val="anyParagraph"/>
              <w:spacing w:before="0" w:after="0"/>
              <w:jc w:val="center"/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1A73E8"/>
                <w:sz w:val="33"/>
                <w:szCs w:val="33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1A73E8"/>
                <w:sz w:val="33"/>
                <w:szCs w:val="33"/>
                <w:lang w:val="zh-CN" w:eastAsia="zh-CN"/>
              </w:rPr>
              <w:t>89%</w:t>
            </w:r>
          </w:p>
        </w:tc>
      </w:tr>
    </w:tbl>
    <w:p>
      <w:pPr>
        <w:pStyle w:val="section-title"/>
        <w:pBdr>
          <w:top w:val="nil"/>
          <w:left w:val="single" w:sz="18" w:space="6" w:color="1A73E8"/>
          <w:bottom w:val="nil"/>
          <w:right w:val="nil"/>
        </w:pBdr>
        <w:spacing w:before="210" w:after="120"/>
        <w:ind w:left="165"/>
        <w:rPr>
          <w:rStyle w:val="DefaultParagraphFont"/>
          <w:rFonts w:ascii="微软雅黑" w:eastAsia="微软雅黑" w:hAnsi="微软雅黑" w:cs="微软雅黑"/>
          <w:b/>
          <w:bCs/>
          <w:color w:val="222222"/>
          <w:sz w:val="20"/>
          <w:szCs w:val="20"/>
          <w:lang w:val="zh-CN" w:eastAsia="zh-CN"/>
        </w:rPr>
      </w:pPr>
      <w:r>
        <w:rPr>
          <w:rStyle w:val="DefaultParagraphFont"/>
          <w:rFonts w:ascii="微软雅黑" w:eastAsia="微软雅黑" w:hAnsi="微软雅黑" w:cs="微软雅黑"/>
          <w:lang w:val="zh-CN" w:eastAsia="zh-CN"/>
        </w:rPr>
        <w:t>二级领域通过情况</w:t>
      </w:r>
    </w:p>
    <w:p>
      <w:pPr>
        <w:pStyle w:val="chart-area"/>
        <w:pBdr>
          <w:top w:val="single" w:sz="6" w:space="9" w:color="E8EEF5"/>
          <w:left w:val="single" w:sz="6" w:space="6" w:color="E8EEF5"/>
          <w:bottom w:val="single" w:sz="6" w:space="6" w:color="E8EEF5"/>
          <w:right w:val="single" w:sz="6" w:space="6" w:color="E8EEF5"/>
        </w:pBdr>
        <w:spacing w:before="0" w:after="150"/>
        <w:ind w:left="135" w:right="135"/>
        <w:rPr>
          <w:rStyle w:val="DefaultParagraphFont"/>
          <w:rFonts w:ascii="微软雅黑" w:eastAsia="微软雅黑" w:hAnsi="微软雅黑" w:cs="微软雅黑"/>
          <w:color w:val="333333"/>
          <w:sz w:val="18"/>
          <w:szCs w:val="18"/>
          <w:lang w:val="zh-CN" w:eastAsia="zh-CN"/>
        </w:rPr>
      </w:pPr>
      <w:r>
        <w:rPr>
          <w:rStyle w:val="DefaultParagraphFont"/>
          <w:rFonts w:ascii="微软雅黑" w:eastAsia="微软雅黑" w:hAnsi="微软雅黑" w:cs="微软雅黑"/>
          <w:strike w:val="0"/>
          <w:color w:val="333333"/>
          <w:sz w:val="18"/>
          <w:szCs w:val="18"/>
          <w:u w:val="none"/>
          <w:bdr w:val="none" w:sz="0" w:space="0" w:color="auto"/>
          <w:shd w:val="clear" w:color="auto" w:fill="auto"/>
          <w:lang w:val="zh-CN" w:eastAsia="zh-CN"/>
        </w:rPr>
        <w:drawing>
          <wp:inline>
            <wp:extent cx="5486400" cy="1828800"/>
            <wp:docPr id="100000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ection-title"/>
        <w:pBdr>
          <w:top w:val="nil"/>
          <w:left w:val="single" w:sz="18" w:space="6" w:color="1A73E8"/>
          <w:bottom w:val="nil"/>
          <w:right w:val="nil"/>
        </w:pBdr>
        <w:spacing w:before="210" w:after="120"/>
        <w:ind w:left="165"/>
        <w:rPr>
          <w:rStyle w:val="DefaultParagraphFont"/>
          <w:rFonts w:ascii="微软雅黑" w:eastAsia="微软雅黑" w:hAnsi="微软雅黑" w:cs="微软雅黑"/>
          <w:b/>
          <w:bCs/>
          <w:color w:val="222222"/>
          <w:sz w:val="20"/>
          <w:szCs w:val="20"/>
          <w:lang w:val="zh-CN" w:eastAsia="zh-CN"/>
        </w:rPr>
      </w:pPr>
      <w:r>
        <w:rPr>
          <w:rStyle w:val="DefaultParagraphFont"/>
          <w:rFonts w:ascii="微软雅黑" w:eastAsia="微软雅黑" w:hAnsi="微软雅黑" w:cs="微软雅黑"/>
          <w:lang w:val="zh-CN" w:eastAsia="zh-CN"/>
        </w:rPr>
        <w:t>二级领域得分情况</w:t>
      </w:r>
    </w:p>
    <w:p>
      <w:pPr>
        <w:pStyle w:val="bar-chart-wrap"/>
        <w:pBdr>
          <w:top w:val="single" w:sz="6" w:space="9" w:color="E8EEF5"/>
          <w:left w:val="single" w:sz="6" w:space="6" w:color="E8EEF5"/>
          <w:bottom w:val="single" w:sz="6" w:space="6" w:color="E8EEF5"/>
          <w:right w:val="single" w:sz="6" w:space="6" w:color="E8EEF5"/>
        </w:pBdr>
        <w:spacing w:before="0" w:after="180"/>
        <w:ind w:left="135" w:right="135"/>
        <w:rPr>
          <w:rStyle w:val="DefaultParagraphFont"/>
          <w:rFonts w:ascii="微软雅黑" w:eastAsia="微软雅黑" w:hAnsi="微软雅黑" w:cs="微软雅黑"/>
          <w:color w:val="333333"/>
          <w:sz w:val="18"/>
          <w:szCs w:val="18"/>
          <w:lang w:val="zh-CN" w:eastAsia="zh-CN"/>
        </w:rPr>
      </w:pPr>
      <w:r>
        <w:rPr>
          <w:rStyle w:val="DefaultParagraphFont"/>
          <w:rFonts w:ascii="微软雅黑" w:eastAsia="微软雅黑" w:hAnsi="微软雅黑" w:cs="微软雅黑"/>
          <w:strike w:val="0"/>
          <w:color w:val="333333"/>
          <w:sz w:val="18"/>
          <w:szCs w:val="18"/>
          <w:u w:val="none"/>
          <w:bdr w:val="none" w:sz="0" w:space="0" w:color="auto"/>
          <w:shd w:val="clear" w:color="auto" w:fill="auto"/>
          <w:lang w:val="zh-CN" w:eastAsia="zh-CN"/>
        </w:rPr>
        <w:drawing>
          <wp:inline>
            <wp:extent cx="5486400" cy="1828800"/>
            <wp:docPr id="100001" name="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nalysis-header"/>
        <w:pBdr>
          <w:top w:val="single" w:sz="6" w:space="0" w:color="E8EEF5"/>
          <w:left w:val="single" w:sz="6" w:space="0" w:color="E8EEF5"/>
          <w:bottom w:val="single" w:sz="6" w:space="0" w:color="E8EEF5"/>
          <w:right w:val="single" w:sz="6" w:space="0" w:color="E8EEF5"/>
        </w:pBdr>
        <w:shd w:val="clear" w:color="auto" w:fill="FFFFFF"/>
        <w:spacing w:before="0" w:after="240"/>
        <w:ind w:left="225" w:right="225"/>
        <w:rPr>
          <w:rStyle w:val="DefaultParagraphFont"/>
          <w:rFonts w:ascii="微软雅黑" w:eastAsia="微软雅黑" w:hAnsi="微软雅黑" w:cs="微软雅黑"/>
          <w:b/>
          <w:bCs/>
          <w:color w:val="1A73E8"/>
          <w:sz w:val="18"/>
          <w:szCs w:val="18"/>
          <w:lang w:val="zh-CN" w:eastAsia="zh-CN"/>
        </w:rPr>
      </w:pPr>
      <w:r>
        <w:rPr>
          <w:rStyle w:val="analysis-icon"/>
          <w:rFonts w:ascii="微软雅黑" w:eastAsia="微软雅黑" w:hAnsi="微软雅黑" w:cs="微软雅黑"/>
          <w:lang w:val="zh-CN" w:eastAsia="zh-CN"/>
        </w:rPr>
        <w:t>≡</w:t>
      </w:r>
      <w:r>
        <w:rPr>
          <w:rStyle w:val="DefaultParagraphFont"/>
          <w:rFonts w:ascii="微软雅黑" w:eastAsia="微软雅黑" w:hAnsi="微软雅黑" w:cs="微软雅黑"/>
          <w:lang w:val="zh-CN" w:eastAsia="zh-CN"/>
        </w:rPr>
        <w:t>综合结果分析</w:t>
      </w:r>
    </w:p>
    <w:p>
      <w:pPr>
        <w:pStyle w:val="advice-header"/>
        <w:pBdr>
          <w:top w:val="single" w:sz="6" w:space="0" w:color="E8EEF5"/>
          <w:left w:val="single" w:sz="6" w:space="0" w:color="E8EEF5"/>
          <w:bottom w:val="single" w:sz="6" w:space="0" w:color="E8EEF5"/>
          <w:right w:val="single" w:sz="6" w:space="0" w:color="E8EEF5"/>
        </w:pBdr>
        <w:shd w:val="clear" w:color="auto" w:fill="FFFFFF"/>
        <w:spacing w:before="0" w:after="240"/>
        <w:ind w:left="225" w:right="225"/>
        <w:rPr>
          <w:rStyle w:val="DefaultParagraphFont"/>
          <w:rFonts w:ascii="微软雅黑" w:eastAsia="微软雅黑" w:hAnsi="微软雅黑" w:cs="微软雅黑"/>
          <w:b/>
          <w:bCs/>
          <w:color w:val="E05A5A"/>
          <w:sz w:val="18"/>
          <w:szCs w:val="18"/>
          <w:lang w:val="zh-CN" w:eastAsia="zh-CN"/>
        </w:rPr>
      </w:pPr>
      <w:r>
        <w:rPr>
          <w:rStyle w:val="advice-icon"/>
          <w:rFonts w:ascii="Cambria Math" w:eastAsia="Cambria Math" w:hAnsi="Cambria Math" w:cs="Cambria Math"/>
          <w:lang w:val="zh-CN" w:eastAsia="zh-CN"/>
        </w:rPr>
        <w:t>♡</w:t>
      </w:r>
      <w:r>
        <w:rPr>
          <w:rStyle w:val="DefaultParagraphFont"/>
          <w:rFonts w:ascii="微软雅黑" w:eastAsia="微软雅黑" w:hAnsi="微软雅黑" w:cs="微软雅黑"/>
          <w:lang w:val="zh-CN" w:eastAsia="zh-CN"/>
        </w:rPr>
        <w:t>专业建议与训练建议</w:t>
      </w:r>
    </w:p>
    <w:p>
      <w:pPr>
        <w:pStyle w:val="skill-section-header"/>
        <w:pBdr>
          <w:top w:val="nil"/>
          <w:left w:val="single" w:sz="18" w:space="7" w:color="1A73E8"/>
          <w:bottom w:val="nil"/>
          <w:right w:val="nil"/>
        </w:pBdr>
        <w:spacing w:before="0" w:after="30"/>
        <w:ind w:left="195" w:right="150"/>
        <w:rPr>
          <w:rStyle w:val="DefaultParagraphFont"/>
          <w:rFonts w:ascii="微软雅黑" w:eastAsia="微软雅黑" w:hAnsi="微软雅黑" w:cs="微软雅黑"/>
          <w:b/>
          <w:bCs/>
          <w:color w:val="1A73E8"/>
          <w:sz w:val="17"/>
          <w:szCs w:val="17"/>
          <w:lang w:val="zh-CN" w:eastAsia="zh-CN"/>
        </w:rPr>
      </w:pPr>
      <w:r>
        <w:rPr>
          <w:rStyle w:val="DefaultParagraphFont"/>
          <w:rFonts w:ascii="微软雅黑" w:eastAsia="微软雅黑" w:hAnsi="微软雅黑" w:cs="微软雅黑"/>
          <w:shd w:val="clear" w:color="auto" w:fill="auto"/>
          <w:lang w:val="zh-CN" w:eastAsia="zh-CN"/>
        </w:rPr>
        <w:t>生活自理与生理需求管理</w:t>
      </w:r>
      <w:r>
        <w:rPr>
          <w:rStyle w:val="skill-badge-green"/>
          <w:rFonts w:ascii="微软雅黑" w:eastAsia="微软雅黑" w:hAnsi="微软雅黑" w:cs="微软雅黑"/>
          <w:lang w:val="zh-CN" w:eastAsia="zh-CN"/>
        </w:rPr>
        <w:t>(2项未通过)</w:t>
      </w:r>
    </w:p>
    <w:tbl>
      <w:tblPr>
        <w:tblStyle w:val="skill-table"/>
        <w:tblW w:w="5000" w:type="pct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136"/>
        <w:gridCol w:w="2368"/>
      </w:tblGrid>
      <w:tr>
        <w:tblPrEx>
          <w:tblW w:w="5000" w:type="pct"/>
          <w:tblInd w:w="1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00" w:type="pct"/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shd w:val="clear" w:color="auto" w:fill="F7FAFD"/>
            <w:tcMar>
              <w:top w:w="68" w:type="dxa"/>
              <w:left w:w="128" w:type="dxa"/>
              <w:bottom w:w="68" w:type="dxa"/>
              <w:right w:w="128" w:type="dxa"/>
            </w:tcMar>
            <w:vAlign w:val="center"/>
          </w:tcPr>
          <w:p>
            <w:pPr>
              <w:shd w:val="clear" w:color="auto" w:fill="F7FAFD"/>
              <w:jc w:val="left"/>
              <w:rPr>
                <w:rStyle w:val="DefaultParagraphFont"/>
                <w:rFonts w:ascii="微软雅黑" w:eastAsia="微软雅黑" w:hAnsi="微软雅黑" w:cs="微软雅黑"/>
                <w:b w:val="0"/>
                <w:bCs w:val="0"/>
                <w:color w:val="888888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 w:val="0"/>
                <w:bCs w:val="0"/>
                <w:color w:val="888888"/>
                <w:sz w:val="17"/>
                <w:szCs w:val="17"/>
                <w:lang w:val="zh-CN" w:eastAsia="zh-CN"/>
              </w:rPr>
              <w:t>评估条目</w:t>
            </w:r>
          </w:p>
        </w:tc>
        <w:tc>
          <w:tcPr>
            <w:tcW w:w="1500" w:type="pct"/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shd w:val="clear" w:color="auto" w:fill="F7FAFD"/>
            <w:tcMar>
              <w:top w:w="68" w:type="dxa"/>
              <w:left w:w="128" w:type="dxa"/>
              <w:bottom w:w="68" w:type="dxa"/>
              <w:right w:w="128" w:type="dxa"/>
            </w:tcMar>
            <w:vAlign w:val="center"/>
          </w:tcPr>
          <w:p>
            <w:pPr>
              <w:shd w:val="clear" w:color="auto" w:fill="F7FAFD"/>
              <w:jc w:val="center"/>
              <w:rPr>
                <w:rStyle w:val="DefaultParagraphFont"/>
                <w:rFonts w:ascii="微软雅黑" w:eastAsia="微软雅黑" w:hAnsi="微软雅黑" w:cs="微软雅黑"/>
                <w:b w:val="0"/>
                <w:bCs w:val="0"/>
                <w:color w:val="888888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 w:val="0"/>
                <w:bCs w:val="0"/>
                <w:color w:val="888888"/>
                <w:sz w:val="17"/>
                <w:szCs w:val="17"/>
                <w:lang w:val="zh-CN" w:eastAsia="zh-CN"/>
              </w:rPr>
              <w:t>得分</w:t>
            </w:r>
          </w:p>
        </w:tc>
      </w:tr>
      <w:tr>
        <w:tblPrEx>
          <w:tblW w:w="5000" w:type="pct"/>
          <w:tblInd w:w="13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tcMar>
              <w:top w:w="82" w:type="dxa"/>
              <w:left w:w="128" w:type="dxa"/>
              <w:bottom w:w="82" w:type="dxa"/>
              <w:right w:w="128" w:type="dxa"/>
            </w:tcMar>
            <w:vAlign w:val="center"/>
          </w:tcPr>
          <w:p>
            <w:pPr>
              <w:pStyle w:val="sub-labe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30"/>
              <w:rPr>
                <w:rStyle w:val="DefaultParagraphFont"/>
                <w:rFonts w:ascii="微软雅黑" w:eastAsia="微软雅黑" w:hAnsi="微软雅黑" w:cs="微软雅黑"/>
                <w:color w:val="AAAAAA"/>
                <w:sz w:val="15"/>
                <w:szCs w:val="15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【如厕能力】能准确区分男/女卫生间，不进错卫生间。</w:t>
            </w:r>
          </w:p>
        </w:tc>
        <w:tc>
          <w:tcPr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tcMar>
              <w:top w:w="82" w:type="dxa"/>
              <w:left w:w="128" w:type="dxa"/>
              <w:bottom w:w="82" w:type="dxa"/>
              <w:right w:w="128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444444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444444"/>
                <w:sz w:val="17"/>
                <w:szCs w:val="17"/>
                <w:lang w:val="zh-CN" w:eastAsia="zh-CN"/>
              </w:rPr>
              <w:t>1/5.0</w:t>
            </w:r>
          </w:p>
        </w:tc>
      </w:tr>
      <w:tr>
        <w:tblPrEx>
          <w:tblW w:w="5000" w:type="pct"/>
          <w:tblInd w:w="13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tcMar>
              <w:top w:w="82" w:type="dxa"/>
              <w:left w:w="128" w:type="dxa"/>
              <w:bottom w:w="82" w:type="dxa"/>
              <w:right w:w="128" w:type="dxa"/>
            </w:tcMar>
            <w:vAlign w:val="center"/>
          </w:tcPr>
          <w:p>
            <w:pPr>
              <w:pStyle w:val="sub-labe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30"/>
              <w:rPr>
                <w:rStyle w:val="DefaultParagraphFont"/>
                <w:rFonts w:ascii="微软雅黑" w:eastAsia="微软雅黑" w:hAnsi="微软雅黑" w:cs="微软雅黑"/>
                <w:color w:val="AAAAAA"/>
                <w:sz w:val="15"/>
                <w:szCs w:val="15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【进餐与饮水】遵守基本就餐礼仪（就餐时保持安静、不抢夺他人食物、不四处走动）。</w:t>
            </w:r>
          </w:p>
        </w:tc>
        <w:tc>
          <w:tcPr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tcMar>
              <w:top w:w="82" w:type="dxa"/>
              <w:left w:w="128" w:type="dxa"/>
              <w:bottom w:w="82" w:type="dxa"/>
              <w:right w:w="128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444444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444444"/>
                <w:sz w:val="17"/>
                <w:szCs w:val="17"/>
                <w:lang w:val="zh-CN" w:eastAsia="zh-CN"/>
              </w:rPr>
              <w:t>1/5.0</w:t>
            </w:r>
          </w:p>
        </w:tc>
      </w:tr>
    </w:tbl>
    <w:p>
      <w:pPr>
        <w:pStyle w:val="skill-section-header"/>
        <w:pBdr>
          <w:top w:val="nil"/>
          <w:left w:val="single" w:sz="18" w:space="7" w:color="1A73E8"/>
          <w:bottom w:val="nil"/>
          <w:right w:val="nil"/>
        </w:pBdr>
        <w:spacing w:before="0" w:after="30"/>
        <w:ind w:left="195" w:right="150"/>
        <w:rPr>
          <w:rStyle w:val="DefaultParagraphFont"/>
          <w:rFonts w:ascii="微软雅黑" w:eastAsia="微软雅黑" w:hAnsi="微软雅黑" w:cs="微软雅黑"/>
          <w:b/>
          <w:bCs/>
          <w:color w:val="1A73E8"/>
          <w:sz w:val="17"/>
          <w:szCs w:val="17"/>
          <w:lang w:val="zh-CN" w:eastAsia="zh-CN"/>
        </w:rPr>
      </w:pPr>
      <w:r>
        <w:rPr>
          <w:rStyle w:val="DefaultParagraphFont"/>
          <w:rFonts w:ascii="微软雅黑" w:eastAsia="微软雅黑" w:hAnsi="微软雅黑" w:cs="微软雅黑"/>
          <w:shd w:val="clear" w:color="auto" w:fill="auto"/>
          <w:lang w:val="zh-CN" w:eastAsia="zh-CN"/>
        </w:rPr>
        <w:t>校园人际关系与社会交往</w:t>
      </w:r>
      <w:r>
        <w:rPr>
          <w:rStyle w:val="skill-badge-green"/>
          <w:rFonts w:ascii="微软雅黑" w:eastAsia="微软雅黑" w:hAnsi="微软雅黑" w:cs="微软雅黑"/>
          <w:lang w:val="zh-CN" w:eastAsia="zh-CN"/>
        </w:rPr>
        <w:t>(2项未通过)</w:t>
      </w:r>
    </w:p>
    <w:tbl>
      <w:tblPr>
        <w:tblStyle w:val="skill-table"/>
        <w:tblW w:w="5000" w:type="pct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736"/>
        <w:gridCol w:w="1768"/>
      </w:tblGrid>
      <w:tr>
        <w:tblPrEx>
          <w:tblW w:w="5000" w:type="pct"/>
          <w:tblInd w:w="1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00" w:type="pct"/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shd w:val="clear" w:color="auto" w:fill="F7FAFD"/>
            <w:tcMar>
              <w:top w:w="68" w:type="dxa"/>
              <w:left w:w="128" w:type="dxa"/>
              <w:bottom w:w="68" w:type="dxa"/>
              <w:right w:w="128" w:type="dxa"/>
            </w:tcMar>
            <w:vAlign w:val="center"/>
          </w:tcPr>
          <w:p>
            <w:pPr>
              <w:shd w:val="clear" w:color="auto" w:fill="F7FAFD"/>
              <w:jc w:val="left"/>
              <w:rPr>
                <w:rStyle w:val="DefaultParagraphFont"/>
                <w:rFonts w:ascii="微软雅黑" w:eastAsia="微软雅黑" w:hAnsi="微软雅黑" w:cs="微软雅黑"/>
                <w:b w:val="0"/>
                <w:bCs w:val="0"/>
                <w:color w:val="888888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 w:val="0"/>
                <w:bCs w:val="0"/>
                <w:color w:val="888888"/>
                <w:sz w:val="17"/>
                <w:szCs w:val="17"/>
                <w:lang w:val="zh-CN" w:eastAsia="zh-CN"/>
              </w:rPr>
              <w:t>评估条目</w:t>
            </w:r>
          </w:p>
        </w:tc>
        <w:tc>
          <w:tcPr>
            <w:tcW w:w="1500" w:type="pct"/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shd w:val="clear" w:color="auto" w:fill="F7FAFD"/>
            <w:tcMar>
              <w:top w:w="68" w:type="dxa"/>
              <w:left w:w="128" w:type="dxa"/>
              <w:bottom w:w="68" w:type="dxa"/>
              <w:right w:w="128" w:type="dxa"/>
            </w:tcMar>
            <w:vAlign w:val="center"/>
          </w:tcPr>
          <w:p>
            <w:pPr>
              <w:shd w:val="clear" w:color="auto" w:fill="F7FAFD"/>
              <w:jc w:val="center"/>
              <w:rPr>
                <w:rStyle w:val="DefaultParagraphFont"/>
                <w:rFonts w:ascii="微软雅黑" w:eastAsia="微软雅黑" w:hAnsi="微软雅黑" w:cs="微软雅黑"/>
                <w:b w:val="0"/>
                <w:bCs w:val="0"/>
                <w:color w:val="888888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 w:val="0"/>
                <w:bCs w:val="0"/>
                <w:color w:val="888888"/>
                <w:sz w:val="17"/>
                <w:szCs w:val="17"/>
                <w:lang w:val="zh-CN" w:eastAsia="zh-CN"/>
              </w:rPr>
              <w:t>得分</w:t>
            </w:r>
          </w:p>
        </w:tc>
      </w:tr>
      <w:tr>
        <w:tblPrEx>
          <w:tblW w:w="5000" w:type="pct"/>
          <w:tblInd w:w="13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tcMar>
              <w:top w:w="82" w:type="dxa"/>
              <w:left w:w="128" w:type="dxa"/>
              <w:bottom w:w="82" w:type="dxa"/>
              <w:right w:w="128" w:type="dxa"/>
            </w:tcMar>
            <w:vAlign w:val="center"/>
          </w:tcPr>
          <w:p>
            <w:pPr>
              <w:pStyle w:val="sub-labe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30"/>
              <w:rPr>
                <w:rStyle w:val="DefaultParagraphFont"/>
                <w:rFonts w:ascii="微软雅黑" w:eastAsia="微软雅黑" w:hAnsi="微软雅黑" w:cs="微软雅黑"/>
                <w:color w:val="AAAAAA"/>
                <w:sz w:val="15"/>
                <w:szCs w:val="15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【师生互动】能够区分班主任、任课老师及其他教职员工，并在见面时主动（或经提示后）问好。</w:t>
            </w:r>
          </w:p>
        </w:tc>
        <w:tc>
          <w:tcPr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tcMar>
              <w:top w:w="82" w:type="dxa"/>
              <w:left w:w="128" w:type="dxa"/>
              <w:bottom w:w="82" w:type="dxa"/>
              <w:right w:w="128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444444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444444"/>
                <w:sz w:val="17"/>
                <w:szCs w:val="17"/>
                <w:lang w:val="zh-CN" w:eastAsia="zh-CN"/>
              </w:rPr>
              <w:t>1/5.0</w:t>
            </w:r>
          </w:p>
        </w:tc>
      </w:tr>
      <w:tr>
        <w:tblPrEx>
          <w:tblW w:w="5000" w:type="pct"/>
          <w:tblInd w:w="136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tcMar>
              <w:top w:w="82" w:type="dxa"/>
              <w:left w:w="128" w:type="dxa"/>
              <w:bottom w:w="82" w:type="dxa"/>
              <w:right w:w="128" w:type="dxa"/>
            </w:tcMar>
            <w:vAlign w:val="center"/>
          </w:tcPr>
          <w:p>
            <w:pPr>
              <w:pStyle w:val="sub-labe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30"/>
              <w:rPr>
                <w:rStyle w:val="DefaultParagraphFont"/>
                <w:rFonts w:ascii="微软雅黑" w:eastAsia="微软雅黑" w:hAnsi="微软雅黑" w:cs="微软雅黑"/>
                <w:color w:val="AAAAAA"/>
                <w:sz w:val="15"/>
                <w:szCs w:val="15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lang w:val="zh-CN" w:eastAsia="zh-CN"/>
              </w:rPr>
              <w:t>【冲突管理与情绪】 具备自我保护意识，在被他人欺负或霸凌时知道躲避并报告老师。</w:t>
            </w:r>
          </w:p>
        </w:tc>
        <w:tc>
          <w:tcPr>
            <w:tcBorders>
              <w:top w:val="single" w:sz="6" w:space="0" w:color="E8EEF5"/>
              <w:left w:val="single" w:sz="6" w:space="0" w:color="E8EEF5"/>
              <w:bottom w:val="single" w:sz="6" w:space="0" w:color="E8EEF5"/>
              <w:right w:val="single" w:sz="6" w:space="0" w:color="E8EEF5"/>
            </w:tcBorders>
            <w:tcMar>
              <w:top w:w="82" w:type="dxa"/>
              <w:left w:w="128" w:type="dxa"/>
              <w:bottom w:w="82" w:type="dxa"/>
              <w:right w:w="128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444444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微软雅黑" w:eastAsia="微软雅黑" w:hAnsi="微软雅黑" w:cs="微软雅黑"/>
                <w:b/>
                <w:bCs/>
                <w:color w:val="444444"/>
                <w:sz w:val="17"/>
                <w:szCs w:val="17"/>
                <w:lang w:val="zh-CN" w:eastAsia="zh-CN"/>
              </w:rPr>
              <w:t>1/5.0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age-header">
    <w:name w:val="page-header"/>
    <w:basedOn w:val="Normal"/>
    <w:pPr>
      <w:pBdr>
        <w:top w:val="none" w:sz="0" w:space="6" w:color="auto"/>
        <w:left w:val="none" w:sz="0" w:space="12" w:color="auto"/>
        <w:bottom w:val="single" w:sz="6" w:space="4" w:color="E8E8E8"/>
        <w:right w:val="none" w:sz="0" w:space="12" w:color="auto"/>
      </w:pBdr>
      <w:shd w:val="clear" w:color="auto" w:fill="FFFFFF"/>
    </w:pPr>
    <w:rPr>
      <w:shd w:val="clear" w:color="auto" w:fill="FFFFFF"/>
    </w:rPr>
  </w:style>
  <w:style w:type="paragraph" w:customStyle="1" w:styleId="page-title">
    <w:name w:val="page-title"/>
    <w:basedOn w:val="Normal"/>
    <w:rPr>
      <w:b/>
      <w:bCs/>
      <w:color w:val="222222"/>
      <w:sz w:val="23"/>
      <w:szCs w:val="23"/>
    </w:rPr>
  </w:style>
  <w:style w:type="paragraph" w:customStyle="1" w:styleId="info-row">
    <w:name w:val="info-row"/>
    <w:basedOn w:val="Normal"/>
    <w:pPr>
      <w:spacing w:line="280" w:lineRule="atLeast"/>
    </w:pPr>
    <w:rPr>
      <w:color w:val="555555"/>
      <w:sz w:val="17"/>
      <w:szCs w:val="17"/>
    </w:rPr>
  </w:style>
  <w:style w:type="character" w:customStyle="1" w:styleId="info-label">
    <w:name w:val="info-label"/>
    <w:basedOn w:val="DefaultParagraphFont"/>
    <w:rPr>
      <w:color w:val="888888"/>
    </w:rPr>
  </w:style>
  <w:style w:type="table" w:customStyle="1" w:styleId="any">
    <w:name w:val="any"/>
    <w:basedOn w:val="TableNormal"/>
    <w:tblPr/>
  </w:style>
  <w:style w:type="paragraph" w:customStyle="1" w:styleId="anyParagraph">
    <w:name w:val="any Paragraph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anyCharacter">
    <w:name w:val="any Character"/>
    <w:basedOn w:val="DefaultParagraphFont"/>
  </w:style>
  <w:style w:type="paragraph" w:customStyle="1" w:styleId="section-title">
    <w:name w:val="section-title"/>
    <w:basedOn w:val="Normal"/>
    <w:pPr>
      <w:pBdr>
        <w:left w:val="single" w:sz="18" w:space="6" w:color="1A73E8"/>
      </w:pBdr>
    </w:pPr>
    <w:rPr>
      <w:b/>
      <w:bCs/>
      <w:color w:val="222222"/>
      <w:sz w:val="20"/>
      <w:szCs w:val="20"/>
    </w:rPr>
  </w:style>
  <w:style w:type="paragraph" w:customStyle="1" w:styleId="chart-area">
    <w:name w:val="chart-area"/>
    <w:basedOn w:val="Normal"/>
    <w:pPr>
      <w:pBdr>
        <w:top w:val="single" w:sz="6" w:space="9" w:color="E8EEF5"/>
        <w:left w:val="single" w:sz="6" w:space="6" w:color="E8EEF5"/>
        <w:bottom w:val="single" w:sz="6" w:space="6" w:color="E8EEF5"/>
        <w:right w:val="single" w:sz="6" w:space="6" w:color="E8EEF5"/>
      </w:pBdr>
      <w:shd w:val="clear" w:color="auto" w:fill="FFFFFF"/>
    </w:pPr>
    <w:rPr>
      <w:bdr w:val="single" w:sz="6" w:space="0" w:color="E8EEF5"/>
      <w:shd w:val="clear" w:color="auto" w:fill="FFFFFF"/>
    </w:rPr>
  </w:style>
  <w:style w:type="paragraph" w:customStyle="1" w:styleId="bar-chart-wrap">
    <w:name w:val="bar-chart-wrap"/>
    <w:basedOn w:val="Normal"/>
    <w:pPr>
      <w:pBdr>
        <w:top w:val="single" w:sz="6" w:space="9" w:color="E8EEF5"/>
        <w:left w:val="single" w:sz="6" w:space="6" w:color="E8EEF5"/>
        <w:bottom w:val="single" w:sz="6" w:space="6" w:color="E8EEF5"/>
        <w:right w:val="single" w:sz="6" w:space="6" w:color="E8EEF5"/>
      </w:pBdr>
      <w:shd w:val="clear" w:color="auto" w:fill="FFFFFF"/>
    </w:pPr>
    <w:rPr>
      <w:bdr w:val="single" w:sz="6" w:space="0" w:color="E8EEF5"/>
      <w:shd w:val="clear" w:color="auto" w:fill="FFFFFF"/>
    </w:rPr>
  </w:style>
  <w:style w:type="paragraph" w:customStyle="1" w:styleId="analysis-section">
    <w:name w:val="analysis-section"/>
    <w:basedOn w:val="Normal"/>
    <w:pPr>
      <w:pBdr>
        <w:top w:val="single" w:sz="6" w:space="7" w:color="E8EEF5"/>
        <w:left w:val="single" w:sz="6" w:space="10" w:color="E8EEF5"/>
        <w:bottom w:val="single" w:sz="6" w:space="7" w:color="E8EEF5"/>
        <w:right w:val="single" w:sz="6" w:space="10" w:color="E8EEF5"/>
      </w:pBdr>
      <w:shd w:val="clear" w:color="auto" w:fill="FFFFFF"/>
    </w:pPr>
    <w:rPr>
      <w:bdr w:val="single" w:sz="6" w:space="0" w:color="E8EEF5"/>
      <w:shd w:val="clear" w:color="auto" w:fill="FFFFFF"/>
    </w:rPr>
  </w:style>
  <w:style w:type="paragraph" w:customStyle="1" w:styleId="analysis-header">
    <w:name w:val="analysis-header"/>
    <w:basedOn w:val="Normal"/>
    <w:rPr>
      <w:b/>
      <w:bCs/>
      <w:color w:val="1A73E8"/>
      <w:sz w:val="18"/>
      <w:szCs w:val="18"/>
    </w:rPr>
  </w:style>
  <w:style w:type="character" w:customStyle="1" w:styleId="analysis-icon">
    <w:name w:val="analysis-icon"/>
    <w:basedOn w:val="DefaultParagraphFont"/>
    <w:rPr>
      <w:color w:val="1A73E8"/>
      <w:sz w:val="15"/>
      <w:szCs w:val="15"/>
      <w:shd w:val="clear" w:color="auto" w:fill="E8F0FE"/>
    </w:rPr>
  </w:style>
  <w:style w:type="paragraph" w:customStyle="1" w:styleId="analysis-text">
    <w:name w:val="analysis-text"/>
    <w:basedOn w:val="Normal"/>
    <w:pPr>
      <w:spacing w:line="297" w:lineRule="atLeast"/>
    </w:pPr>
    <w:rPr>
      <w:color w:val="444444"/>
      <w:sz w:val="17"/>
      <w:szCs w:val="17"/>
    </w:rPr>
  </w:style>
  <w:style w:type="paragraph" w:customStyle="1" w:styleId="advice-header">
    <w:name w:val="advice-header"/>
    <w:basedOn w:val="Normal"/>
    <w:rPr>
      <w:b/>
      <w:bCs/>
      <w:color w:val="E05A5A"/>
      <w:sz w:val="18"/>
      <w:szCs w:val="18"/>
    </w:rPr>
  </w:style>
  <w:style w:type="character" w:customStyle="1" w:styleId="advice-icon">
    <w:name w:val="advice-icon"/>
    <w:basedOn w:val="DefaultParagraphFont"/>
    <w:rPr>
      <w:color w:val="E05A5A"/>
      <w:sz w:val="15"/>
      <w:szCs w:val="15"/>
      <w:shd w:val="clear" w:color="auto" w:fill="FDE8E8"/>
    </w:rPr>
  </w:style>
  <w:style w:type="paragraph" w:customStyle="1" w:styleId="skill-section">
    <w:name w:val="skill-section"/>
    <w:basedOn w:val="Normal"/>
  </w:style>
  <w:style w:type="paragraph" w:customStyle="1" w:styleId="skill-section-header">
    <w:name w:val="skill-section-header"/>
    <w:basedOn w:val="Normal"/>
    <w:pPr>
      <w:pBdr>
        <w:top w:val="none" w:sz="0" w:space="3" w:color="auto"/>
        <w:left w:val="single" w:sz="18" w:space="7" w:color="1A73E8"/>
        <w:bottom w:val="none" w:sz="0" w:space="3" w:color="auto"/>
        <w:right w:val="none" w:sz="0" w:space="7" w:color="auto"/>
      </w:pBdr>
      <w:shd w:val="clear" w:color="auto" w:fill="F0F7FF"/>
    </w:pPr>
    <w:rPr>
      <w:b/>
      <w:bCs/>
      <w:color w:val="1A73E8"/>
      <w:sz w:val="17"/>
      <w:szCs w:val="17"/>
      <w:shd w:val="clear" w:color="auto" w:fill="F0F7FF"/>
    </w:rPr>
  </w:style>
  <w:style w:type="character" w:customStyle="1" w:styleId="skill-badge-green">
    <w:name w:val="skill-badge-green"/>
    <w:basedOn w:val="DefaultParagraphFont"/>
    <w:rPr>
      <w:color w:val="FFFFFF"/>
      <w:sz w:val="15"/>
      <w:szCs w:val="15"/>
      <w:shd w:val="clear" w:color="auto" w:fill="52C41A"/>
    </w:rPr>
  </w:style>
  <w:style w:type="paragraph" w:customStyle="1" w:styleId="sub-label">
    <w:name w:val="sub-label"/>
    <w:basedOn w:val="Normal"/>
    <w:rPr>
      <w:color w:val="AAAAAA"/>
      <w:sz w:val="15"/>
      <w:szCs w:val="15"/>
    </w:rPr>
  </w:style>
  <w:style w:type="table" w:customStyle="1" w:styleId="skill-table">
    <w:name w:val="skill-table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